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F75F15">
        <w:rPr>
          <w:rFonts w:hint="eastAsia"/>
          <w:sz w:val="20"/>
          <w:lang w:val="sv-SE"/>
        </w:rPr>
        <w:t>80</w:t>
      </w:r>
      <w:r w:rsidR="0008783D">
        <w:rPr>
          <w:sz w:val="20"/>
          <w:lang w:val="sv-SE"/>
        </w:rPr>
        <w:t>bis</w:t>
      </w:r>
      <w:r w:rsidR="00857CEA">
        <w:rPr>
          <w:sz w:val="20"/>
          <w:lang w:val="sv-SE"/>
        </w:rPr>
        <w:tab/>
      </w:r>
      <w:r w:rsidR="008D1D14" w:rsidRPr="008D1D14">
        <w:rPr>
          <w:sz w:val="20"/>
          <w:lang w:val="sv-SE"/>
        </w:rPr>
        <w:t>R4-168599</w:t>
      </w:r>
      <w:bookmarkStart w:id="2" w:name="_GoBack"/>
      <w:bookmarkEnd w:id="2"/>
    </w:p>
    <w:p w:rsidR="00197EC1" w:rsidRDefault="00FF4DFC" w:rsidP="00197EC1">
      <w:pPr>
        <w:pStyle w:val="FootnoteText"/>
        <w:rPr>
          <w:rFonts w:ascii="Arial" w:eastAsiaTheme="minorEastAsia" w:hAnsi="Arial" w:cs="Arial"/>
          <w:b/>
          <w:bCs/>
          <w:noProof/>
          <w:szCs w:val="18"/>
          <w:lang w:eastAsia="zh-CN"/>
        </w:rPr>
      </w:pPr>
      <w:r w:rsidRPr="00FF4DFC">
        <w:rPr>
          <w:rFonts w:ascii="Arial" w:eastAsiaTheme="minorEastAsia" w:hAnsi="Arial" w:cs="Arial"/>
          <w:b/>
          <w:bCs/>
          <w:noProof/>
          <w:szCs w:val="18"/>
          <w:lang w:eastAsia="zh-CN"/>
        </w:rPr>
        <w:t>Ljubljana</w:t>
      </w:r>
      <w:r w:rsidR="00F75F15" w:rsidRPr="00332EBA">
        <w:rPr>
          <w:rFonts w:ascii="Arial" w:eastAsiaTheme="minorEastAsia" w:hAnsi="Arial" w:cs="Arial"/>
          <w:b/>
          <w:bCs/>
          <w:noProof/>
          <w:szCs w:val="18"/>
          <w:lang w:eastAsia="zh-CN"/>
        </w:rPr>
        <w:t xml:space="preserve">, </w:t>
      </w:r>
      <w:r w:rsidRPr="00FF4DFC">
        <w:rPr>
          <w:rFonts w:ascii="Arial" w:eastAsiaTheme="minorEastAsia" w:hAnsi="Arial" w:cs="Arial"/>
          <w:b/>
          <w:bCs/>
          <w:noProof/>
          <w:szCs w:val="18"/>
          <w:lang w:eastAsia="zh-CN"/>
        </w:rPr>
        <w:t>Slovenia</w:t>
      </w:r>
      <w:r w:rsidR="00F75F15" w:rsidRPr="00332EBA">
        <w:rPr>
          <w:rFonts w:ascii="Arial" w:eastAsiaTheme="minorEastAsia" w:hAnsi="Arial" w:cs="Arial"/>
          <w:b/>
          <w:bCs/>
          <w:noProof/>
          <w:szCs w:val="18"/>
          <w:lang w:eastAsia="zh-CN"/>
        </w:rPr>
        <w:t xml:space="preserve">, </w:t>
      </w:r>
      <w:r>
        <w:rPr>
          <w:rFonts w:ascii="Arial" w:eastAsiaTheme="minorEastAsia" w:hAnsi="Arial" w:cs="Arial"/>
          <w:b/>
          <w:bCs/>
          <w:noProof/>
          <w:szCs w:val="18"/>
          <w:lang w:eastAsia="zh-CN"/>
        </w:rPr>
        <w:t>10</w:t>
      </w:r>
      <w:r w:rsidR="00F75F15" w:rsidRPr="00332EBA">
        <w:rPr>
          <w:rFonts w:ascii="Arial" w:eastAsiaTheme="minorEastAsia" w:hAnsi="Arial" w:cs="Arial"/>
          <w:b/>
          <w:bCs/>
          <w:noProof/>
          <w:szCs w:val="18"/>
          <w:lang w:eastAsia="zh-CN"/>
        </w:rPr>
        <w:t xml:space="preserve"> – </w:t>
      </w:r>
      <w:r>
        <w:rPr>
          <w:rFonts w:ascii="Arial" w:eastAsiaTheme="minorEastAsia" w:hAnsi="Arial" w:cs="Arial"/>
          <w:b/>
          <w:bCs/>
          <w:noProof/>
          <w:szCs w:val="18"/>
          <w:lang w:eastAsia="zh-CN"/>
        </w:rPr>
        <w:t>14 Oct</w:t>
      </w:r>
      <w:r w:rsidR="00F75F15" w:rsidRPr="00332EBA">
        <w:rPr>
          <w:rFonts w:ascii="Arial" w:eastAsiaTheme="minorEastAsia" w:hAnsi="Arial" w:cs="Arial"/>
          <w:b/>
          <w:bCs/>
          <w:noProof/>
          <w:szCs w:val="18"/>
          <w:lang w:eastAsia="zh-CN"/>
        </w:rPr>
        <w:t>, 2016</w:t>
      </w:r>
    </w:p>
    <w:p w:rsidR="00815F66" w:rsidRPr="00D90968" w:rsidRDefault="00815F66"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FF4DFC">
        <w:rPr>
          <w:sz w:val="20"/>
          <w:lang w:val="en-US"/>
        </w:rPr>
        <w:t xml:space="preserve">Overview on </w:t>
      </w:r>
      <w:r w:rsidR="009F3C37">
        <w:rPr>
          <w:sz w:val="20"/>
          <w:lang w:val="en-US"/>
        </w:rPr>
        <w:t xml:space="preserve">Rel-14 eLAA </w:t>
      </w:r>
      <w:r w:rsidR="00FF4DFC">
        <w:rPr>
          <w:sz w:val="20"/>
          <w:lang w:val="en-US"/>
        </w:rPr>
        <w:t>demodulation</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E7585F">
        <w:rPr>
          <w:rFonts w:eastAsiaTheme="minorEastAsia"/>
          <w:sz w:val="20"/>
          <w:lang w:val="en-US" w:eastAsia="zh-CN"/>
        </w:rPr>
        <w:t>8.1</w:t>
      </w:r>
      <w:r w:rsidR="00E34C14">
        <w:rPr>
          <w:rFonts w:eastAsiaTheme="minorEastAsia"/>
          <w:sz w:val="20"/>
          <w:lang w:val="en-US" w:eastAsia="zh-CN"/>
        </w:rPr>
        <w:t>8</w:t>
      </w:r>
      <w:r w:rsidR="00E7585F">
        <w:rPr>
          <w:rFonts w:eastAsiaTheme="minorEastAsia"/>
          <w:sz w:val="20"/>
          <w:lang w:val="en-US" w:eastAsia="zh-CN"/>
        </w:rPr>
        <w:t>.1</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3560F7" w:rsidRDefault="00EE1370" w:rsidP="003560F7">
      <w:r>
        <w:t>In this paper, we provide our view on</w:t>
      </w:r>
      <w:r w:rsidR="00E34C14">
        <w:t xml:space="preserve"> Rel-14 eLAA demodulation</w:t>
      </w:r>
      <w:r w:rsidR="00EF453D">
        <w:t xml:space="preserve"> framework, which includes both downlink and uplink. </w:t>
      </w:r>
    </w:p>
    <w:p w:rsidR="0034611F" w:rsidRDefault="002450FA" w:rsidP="0034611F">
      <w:pPr>
        <w:pStyle w:val="Heading1"/>
        <w:rPr>
          <w:lang w:val="en-US"/>
        </w:rPr>
      </w:pPr>
      <w:r>
        <w:rPr>
          <w:lang w:val="en-US"/>
        </w:rPr>
        <w:t>Discussion</w:t>
      </w:r>
    </w:p>
    <w:p w:rsidR="002450FA" w:rsidRPr="002450FA" w:rsidRDefault="002450FA" w:rsidP="002450FA">
      <w:pPr>
        <w:pStyle w:val="Heading2"/>
        <w:rPr>
          <w:lang w:val="en-US"/>
        </w:rPr>
      </w:pPr>
      <w:r>
        <w:rPr>
          <w:lang w:val="en-US"/>
        </w:rPr>
        <w:t>Downlink for eLAA</w:t>
      </w:r>
    </w:p>
    <w:p w:rsidR="00485874" w:rsidRDefault="002450FA" w:rsidP="006B7FFE">
      <w:pPr>
        <w:rPr>
          <w:lang w:val="en-US"/>
        </w:rPr>
      </w:pPr>
      <w:r>
        <w:rPr>
          <w:lang w:val="en-US"/>
        </w:rPr>
        <w:t xml:space="preserve">In eLAA, there are four new formats are introduced, they are </w:t>
      </w:r>
      <w:r w:rsidR="006B7FFE">
        <w:rPr>
          <w:lang w:val="en-US"/>
        </w:rPr>
        <w:t xml:space="preserve">DCI format 0A/4A and </w:t>
      </w:r>
      <w:r>
        <w:rPr>
          <w:lang w:val="en-US"/>
        </w:rPr>
        <w:t>DCI format 0B/4B</w:t>
      </w:r>
      <w:r w:rsidR="006B7FFE">
        <w:rPr>
          <w:lang w:val="en-US"/>
        </w:rPr>
        <w:t xml:space="preserve">. </w:t>
      </w:r>
    </w:p>
    <w:p w:rsidR="006B7FFE" w:rsidRDefault="006B7FFE" w:rsidP="006B7FFE">
      <w:pPr>
        <w:rPr>
          <w:lang w:val="en-US"/>
        </w:rPr>
      </w:pPr>
      <w:r>
        <w:rPr>
          <w:lang w:val="en-US"/>
        </w:rPr>
        <w:t xml:space="preserve">For DCI format 0A/4A, RAN1 have the following </w:t>
      </w:r>
      <w:r w:rsidR="00485874">
        <w:rPr>
          <w:lang w:val="en-US"/>
        </w:rPr>
        <w:t>agreements:</w:t>
      </w:r>
    </w:p>
    <w:p w:rsidR="006B7FFE" w:rsidRDefault="006B7FFE" w:rsidP="006B7FFE">
      <w:pPr>
        <w:numPr>
          <w:ilvl w:val="0"/>
          <w:numId w:val="36"/>
        </w:numPr>
        <w:overflowPunct/>
        <w:autoSpaceDE/>
        <w:autoSpaceDN/>
        <w:adjustRightInd/>
        <w:spacing w:after="0"/>
        <w:textAlignment w:val="auto"/>
        <w:rPr>
          <w:lang w:eastAsia="ko-KR"/>
        </w:rPr>
      </w:pPr>
      <w:r w:rsidRPr="00773B6F">
        <w:rPr>
          <w:rFonts w:hint="eastAsia"/>
          <w:lang w:eastAsia="ko-KR"/>
        </w:rPr>
        <w:t xml:space="preserve">UE </w:t>
      </w:r>
      <w:r>
        <w:rPr>
          <w:lang w:eastAsia="ko-KR"/>
        </w:rPr>
        <w:t xml:space="preserve">may be configured to </w:t>
      </w:r>
      <w:r w:rsidRPr="00773B6F">
        <w:rPr>
          <w:rFonts w:hint="eastAsia"/>
          <w:lang w:eastAsia="ko-KR"/>
        </w:rPr>
        <w:t xml:space="preserve">detect </w:t>
      </w:r>
      <w:r>
        <w:rPr>
          <w:lang w:eastAsia="ko-KR"/>
        </w:rPr>
        <w:t xml:space="preserve">multiple uplink grants which may be chosen without restriction from </w:t>
      </w:r>
      <w:r w:rsidRPr="00773B6F">
        <w:rPr>
          <w:rFonts w:hint="eastAsia"/>
          <w:lang w:eastAsia="ko-KR"/>
        </w:rPr>
        <w:t>DCI 0A</w:t>
      </w:r>
      <w:r>
        <w:rPr>
          <w:lang w:eastAsia="ko-KR"/>
        </w:rPr>
        <w:t>/4A/0B/4B</w:t>
      </w:r>
      <w:r>
        <w:rPr>
          <w:rFonts w:hint="eastAsia"/>
          <w:lang w:eastAsia="ko-KR"/>
        </w:rPr>
        <w:t xml:space="preserve"> </w:t>
      </w:r>
    </w:p>
    <w:p w:rsidR="006B7FFE" w:rsidRDefault="006B7FFE" w:rsidP="006B7FFE">
      <w:pPr>
        <w:rPr>
          <w:lang w:val="en-US"/>
        </w:rPr>
      </w:pPr>
      <w:r>
        <w:rPr>
          <w:lang w:eastAsia="ko-KR"/>
        </w:rPr>
        <w:t>M</w:t>
      </w:r>
      <w:r w:rsidRPr="00773B6F">
        <w:rPr>
          <w:rFonts w:hint="eastAsia"/>
          <w:lang w:eastAsia="ko-KR"/>
        </w:rPr>
        <w:t xml:space="preserve">aximum number of </w:t>
      </w:r>
      <w:r>
        <w:rPr>
          <w:lang w:eastAsia="ko-KR"/>
        </w:rPr>
        <w:t xml:space="preserve">uplink grants </w:t>
      </w:r>
      <w:r w:rsidRPr="00773B6F">
        <w:rPr>
          <w:rFonts w:hint="eastAsia"/>
          <w:lang w:eastAsia="ko-KR"/>
        </w:rPr>
        <w:t xml:space="preserve">to be </w:t>
      </w:r>
      <w:r>
        <w:rPr>
          <w:lang w:eastAsia="ko-KR"/>
        </w:rPr>
        <w:t xml:space="preserve">transmitted for a single UE </w:t>
      </w:r>
      <w:r w:rsidRPr="00773B6F">
        <w:rPr>
          <w:rFonts w:hint="eastAsia"/>
          <w:lang w:eastAsia="ko-KR"/>
        </w:rPr>
        <w:t>in a subframe</w:t>
      </w:r>
      <w:r>
        <w:rPr>
          <w:lang w:eastAsia="ko-KR"/>
        </w:rPr>
        <w:t xml:space="preserve"> is 4</w:t>
      </w:r>
      <w:r w:rsidR="007527C8">
        <w:rPr>
          <w:lang w:eastAsia="ko-KR"/>
        </w:rPr>
        <w:t xml:space="preserve">. </w:t>
      </w:r>
      <w:r w:rsidR="00814FFF">
        <w:rPr>
          <w:lang w:eastAsia="ko-KR"/>
        </w:rPr>
        <w:t xml:space="preserve">In legacy LTE system, there is only uplink grant in one subframe. If the uplink grants to be transmitted for a single UE in a subframe up to 4, UE needs to have multiple detections for uplink grants. </w:t>
      </w:r>
      <w:r w:rsidR="007527C8">
        <w:rPr>
          <w:lang w:eastAsia="ko-KR"/>
        </w:rPr>
        <w:t>This behaviour</w:t>
      </w:r>
      <w:r w:rsidR="00814FFF">
        <w:rPr>
          <w:lang w:eastAsia="ko-KR"/>
        </w:rPr>
        <w:t xml:space="preserve"> is not verified in the legacy system. Thus, i</w:t>
      </w:r>
      <w:r w:rsidR="00C37129">
        <w:rPr>
          <w:lang w:eastAsia="ko-KR"/>
        </w:rPr>
        <w:t xml:space="preserve">t is </w:t>
      </w:r>
      <w:r w:rsidR="00CA3BD8">
        <w:rPr>
          <w:lang w:eastAsia="ko-KR"/>
        </w:rPr>
        <w:t xml:space="preserve">valuable </w:t>
      </w:r>
      <w:r w:rsidR="00C37129">
        <w:rPr>
          <w:lang w:eastAsia="ko-KR"/>
        </w:rPr>
        <w:t xml:space="preserve">to design test case(s) to verify this new UE behaviour. </w:t>
      </w:r>
    </w:p>
    <w:p w:rsidR="00CA3BD8" w:rsidRDefault="00CA3BD8" w:rsidP="002450FA">
      <w:r>
        <w:rPr>
          <w:lang w:val="en-US"/>
        </w:rPr>
        <w:t xml:space="preserve">For </w:t>
      </w:r>
      <w:r w:rsidR="002450FA">
        <w:rPr>
          <w:lang w:val="en-US"/>
        </w:rPr>
        <w:t xml:space="preserve">DCI format 0B/4B, multiple-subframe scheduling are introduced. </w:t>
      </w:r>
      <w:r>
        <w:rPr>
          <w:lang w:val="en-US"/>
        </w:rPr>
        <w:t>Additionally, n</w:t>
      </w:r>
      <w:r>
        <w:t>ew</w:t>
      </w:r>
      <w:r w:rsidR="00C124F4">
        <w:t xml:space="preserve"> </w:t>
      </w:r>
      <w:r>
        <w:t xml:space="preserve">contents are introduced for C-PDCCH to indicate the </w:t>
      </w:r>
      <w:r w:rsidR="00655D95">
        <w:t>“UL configuration for LAA” as shown in</w:t>
      </w:r>
      <w:r w:rsidR="004155E8">
        <w:t xml:space="preserve"> </w:t>
      </w:r>
      <w:r w:rsidR="004155E8">
        <w:fldChar w:fldCharType="begin"/>
      </w:r>
      <w:r w:rsidR="004155E8">
        <w:instrText xml:space="preserve"> REF _Ref463015214 \h </w:instrText>
      </w:r>
      <w:r w:rsidR="004155E8">
        <w:fldChar w:fldCharType="separate"/>
      </w:r>
      <w:r w:rsidR="004155E8">
        <w:t xml:space="preserve">Table </w:t>
      </w:r>
      <w:r w:rsidR="004155E8">
        <w:rPr>
          <w:noProof/>
        </w:rPr>
        <w:t>1</w:t>
      </w:r>
      <w:r w:rsidR="004155E8">
        <w:fldChar w:fldCharType="end"/>
      </w:r>
      <w:r w:rsidR="004155E8">
        <w:t xml:space="preserve">. </w:t>
      </w:r>
      <w:r w:rsidR="00655D95">
        <w:t xml:space="preserve"> </w:t>
      </w:r>
      <w:r w:rsidR="00CB157A">
        <w:t xml:space="preserve">New UE behaviour are defined in RAN1 </w:t>
      </w:r>
      <w:r w:rsidR="000275B7">
        <w:t xml:space="preserve">for </w:t>
      </w:r>
      <w:r w:rsidR="006004AD">
        <w:t>these new DCI formats, RAN4 group shall discuss how to verify th</w:t>
      </w:r>
      <w:r w:rsidR="005C2C52">
        <w:t>em</w:t>
      </w:r>
      <w:r w:rsidR="006004AD">
        <w:t xml:space="preserve">. </w:t>
      </w:r>
      <w:r w:rsidR="005C2C52">
        <w:t xml:space="preserve"> Some of them may be combined with LBT test or RRM test. </w:t>
      </w:r>
    </w:p>
    <w:p w:rsidR="00655D95" w:rsidRDefault="00525D12" w:rsidP="002450FA">
      <w:r>
        <w:t>Taking into aforementioned considering,</w:t>
      </w:r>
      <w:r w:rsidR="00C06D15">
        <w:t xml:space="preserve"> we propose:</w:t>
      </w:r>
    </w:p>
    <w:p w:rsidR="00C06D15" w:rsidRPr="00340613" w:rsidRDefault="00C06D15" w:rsidP="00C06D15">
      <w:pPr>
        <w:rPr>
          <w:i/>
          <w:lang w:val="en-US"/>
        </w:rPr>
      </w:pPr>
      <w:r w:rsidRPr="00340613">
        <w:rPr>
          <w:b/>
          <w:i/>
          <w:lang w:val="en-US"/>
        </w:rPr>
        <w:t>Proposal</w:t>
      </w:r>
      <w:r>
        <w:rPr>
          <w:b/>
          <w:i/>
          <w:lang w:val="en-US"/>
        </w:rPr>
        <w:t xml:space="preserve"> 1</w:t>
      </w:r>
      <w:r w:rsidRPr="00340613">
        <w:rPr>
          <w:i/>
          <w:lang w:val="en-US"/>
        </w:rPr>
        <w:t xml:space="preserve">: RAN4 should </w:t>
      </w:r>
      <w:r>
        <w:rPr>
          <w:i/>
          <w:lang w:val="en-US"/>
        </w:rPr>
        <w:t xml:space="preserve">discuss on how </w:t>
      </w:r>
      <w:r w:rsidRPr="00340613">
        <w:rPr>
          <w:i/>
          <w:lang w:val="en-US"/>
        </w:rPr>
        <w:t>to verify</w:t>
      </w:r>
      <w:r w:rsidR="002E6EF4">
        <w:rPr>
          <w:i/>
          <w:lang w:val="en-US"/>
        </w:rPr>
        <w:t xml:space="preserve"> new </w:t>
      </w:r>
      <w:r w:rsidRPr="00340613">
        <w:rPr>
          <w:i/>
          <w:lang w:val="en-US"/>
        </w:rPr>
        <w:t>UE</w:t>
      </w:r>
      <w:r w:rsidR="002E6EF4">
        <w:rPr>
          <w:i/>
          <w:lang w:val="en-US"/>
        </w:rPr>
        <w:t xml:space="preserve"> behavior with</w:t>
      </w:r>
      <w:r w:rsidR="00805495">
        <w:rPr>
          <w:i/>
          <w:lang w:val="en-US"/>
        </w:rPr>
        <w:t xml:space="preserve"> multiple uplink grants, multiple subframes scheduling and new C-PDCCH with uplink configuration</w:t>
      </w:r>
      <w:r w:rsidRPr="00340613">
        <w:rPr>
          <w:i/>
          <w:lang w:val="en-US"/>
        </w:rPr>
        <w:t xml:space="preserve">. </w:t>
      </w:r>
    </w:p>
    <w:p w:rsidR="00C06D15" w:rsidRPr="00C06D15" w:rsidRDefault="00C06D15" w:rsidP="002450FA">
      <w:pPr>
        <w:rPr>
          <w:lang w:val="en-US"/>
        </w:rPr>
      </w:pPr>
    </w:p>
    <w:p w:rsidR="00655D95" w:rsidRDefault="004155E8" w:rsidP="00B6496D">
      <w:pPr>
        <w:pStyle w:val="Caption"/>
        <w:keepLines/>
        <w:rPr>
          <w:lang w:val="en-US"/>
        </w:rPr>
      </w:pPr>
      <w:bookmarkStart w:id="5" w:name="_Ref463015214"/>
      <w:r>
        <w:t xml:space="preserve">Table </w:t>
      </w:r>
      <w:r>
        <w:fldChar w:fldCharType="begin"/>
      </w:r>
      <w:r>
        <w:instrText xml:space="preserve"> SEQ Table \* ARABIC </w:instrText>
      </w:r>
      <w:r>
        <w:fldChar w:fldCharType="separate"/>
      </w:r>
      <w:r>
        <w:rPr>
          <w:noProof/>
        </w:rPr>
        <w:t>1</w:t>
      </w:r>
      <w:r>
        <w:fldChar w:fldCharType="end"/>
      </w:r>
      <w:bookmarkEnd w:id="5"/>
      <w:r w:rsidR="00655D95">
        <w:t>: UL configuration for LAA</w:t>
      </w:r>
      <w:r w:rsidR="00655D95">
        <w:rPr>
          <w:lang w:val="en-US"/>
        </w:rPr>
        <w:t>.</w:t>
      </w:r>
    </w:p>
    <w:tbl>
      <w:tblPr>
        <w:tblW w:w="0" w:type="auto"/>
        <w:jc w:val="center"/>
        <w:tblLook w:val="01E0" w:firstRow="1" w:lastRow="1" w:firstColumn="1" w:lastColumn="1" w:noHBand="0" w:noVBand="0"/>
      </w:tblPr>
      <w:tblGrid>
        <w:gridCol w:w="3254"/>
        <w:gridCol w:w="1501"/>
        <w:gridCol w:w="1682"/>
      </w:tblGrid>
      <w:tr w:rsidR="00655D95" w:rsidTr="00B6496D">
        <w:trPr>
          <w:trHeight w:val="544"/>
          <w:jc w:val="center"/>
        </w:trPr>
        <w:tc>
          <w:tcPr>
            <w:tcW w:w="325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55D95" w:rsidRDefault="00655D95" w:rsidP="00B6496D">
            <w:pPr>
              <w:pStyle w:val="TAH"/>
              <w:keepNext w:val="0"/>
              <w:rPr>
                <w:lang w:eastAsia="en-US"/>
              </w:rPr>
            </w:pPr>
            <w:r>
              <w:rPr>
                <w:lang w:eastAsia="en-US"/>
              </w:rPr>
              <w:t xml:space="preserve">Value of </w:t>
            </w:r>
            <w:r>
              <w:rPr>
                <w:lang w:eastAsia="en-US"/>
              </w:rPr>
              <w:br/>
              <w:t>‘</w:t>
            </w:r>
            <w:r>
              <w:rPr>
                <w:lang w:eastAsia="zh-CN"/>
              </w:rPr>
              <w:t>UL configuration for LAA’ field</w:t>
            </w:r>
          </w:p>
        </w:tc>
        <w:tc>
          <w:tcPr>
            <w:tcW w:w="150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55D95" w:rsidRDefault="00655D95" w:rsidP="00B6496D">
            <w:pPr>
              <w:pStyle w:val="TAH"/>
              <w:keepNext w:val="0"/>
              <w:rPr>
                <w:lang w:eastAsia="en-US"/>
              </w:rPr>
            </w:pPr>
            <w:r>
              <w:rPr>
                <w:lang w:eastAsia="zh-CN"/>
              </w:rPr>
              <w:t xml:space="preserve">UL offset, </w:t>
            </w:r>
            <w:r>
              <w:rPr>
                <w:position w:val="-6"/>
                <w:lang w:eastAsia="en-US"/>
              </w:rPr>
              <w:object w:dxaOrig="1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pt" o:ole="">
                  <v:imagedata r:id="rId8" o:title=""/>
                </v:shape>
                <o:OLEObject Type="Embed" ProgID="Equation.3" ShapeID="_x0000_i1025" DrawAspect="Content" ObjectID="_1536799266" r:id="rId9"/>
              </w:object>
            </w:r>
          </w:p>
          <w:p w:rsidR="00655D95" w:rsidRDefault="00655D95" w:rsidP="00B6496D">
            <w:pPr>
              <w:pStyle w:val="TAH"/>
              <w:keepNext w:val="0"/>
              <w:rPr>
                <w:lang w:eastAsia="zh-CN"/>
              </w:rPr>
            </w:pPr>
            <w:r>
              <w:rPr>
                <w:lang w:eastAsia="en-US"/>
              </w:rPr>
              <w:t>(in subframes)</w:t>
            </w:r>
          </w:p>
        </w:tc>
        <w:tc>
          <w:tcPr>
            <w:tcW w:w="168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55D95" w:rsidRDefault="00655D95" w:rsidP="00B6496D">
            <w:pPr>
              <w:pStyle w:val="TAH"/>
              <w:keepNext w:val="0"/>
              <w:rPr>
                <w:lang w:eastAsia="zh-CN"/>
              </w:rPr>
            </w:pPr>
            <w:r>
              <w:rPr>
                <w:lang w:eastAsia="zh-CN"/>
              </w:rPr>
              <w:t>UL duration,</w:t>
            </w:r>
            <w:r>
              <w:rPr>
                <w:position w:val="-6"/>
                <w:lang w:eastAsia="en-US"/>
              </w:rPr>
              <w:object w:dxaOrig="200" w:dyaOrig="240">
                <v:shape id="_x0000_i1026" type="#_x0000_t75" style="width:10.5pt;height:12pt" o:ole="">
                  <v:imagedata r:id="rId10" o:title=""/>
                </v:shape>
                <o:OLEObject Type="Embed" ProgID="Equation.3" ShapeID="_x0000_i1026" DrawAspect="Content" ObjectID="_1536799267" r:id="rId11"/>
              </w:object>
            </w:r>
            <w:r>
              <w:rPr>
                <w:lang w:eastAsia="en-US"/>
              </w:rPr>
              <w:t xml:space="preserve"> (in subframes)</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Not configured</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Not configured</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30"/>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lastRenderedPageBreak/>
              <w:t>01110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30"/>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reserved</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reserved</w:t>
            </w:r>
          </w:p>
        </w:tc>
      </w:tr>
    </w:tbl>
    <w:p w:rsidR="00655D95" w:rsidRDefault="00655D95" w:rsidP="002450FA">
      <w:pPr>
        <w:rPr>
          <w:lang w:val="en-US"/>
        </w:rPr>
      </w:pPr>
    </w:p>
    <w:p w:rsidR="00B6496D" w:rsidRDefault="00B6496D" w:rsidP="00B6496D">
      <w:pPr>
        <w:pStyle w:val="Heading2"/>
        <w:rPr>
          <w:lang w:val="en-US"/>
        </w:rPr>
      </w:pPr>
      <w:r>
        <w:rPr>
          <w:lang w:val="en-US"/>
        </w:rPr>
        <w:t>Uplink for eLAA</w:t>
      </w:r>
    </w:p>
    <w:p w:rsidR="00B6496D" w:rsidRDefault="00B6496D" w:rsidP="00B6496D">
      <w:pPr>
        <w:pStyle w:val="Heading3"/>
        <w:rPr>
          <w:lang w:val="en-US"/>
        </w:rPr>
      </w:pPr>
      <w:r>
        <w:rPr>
          <w:lang w:val="en-US"/>
        </w:rPr>
        <w:t>Test case list discussion</w:t>
      </w:r>
    </w:p>
    <w:p w:rsidR="00B6496D" w:rsidRDefault="00B6496D" w:rsidP="00B6496D">
      <w:pPr>
        <w:rPr>
          <w:lang w:val="en-US"/>
        </w:rPr>
      </w:pPr>
      <w:r>
        <w:rPr>
          <w:lang w:val="en-US"/>
        </w:rPr>
        <w:t xml:space="preserve">In eLAA, only PUSCH and SRS are defined and there are no uplink control channels and PRACH channels. For SRS, there are no test even in legacy system. Hence, we can consider only performance requirements for PUSCH. </w:t>
      </w:r>
    </w:p>
    <w:p w:rsidR="00B6496D" w:rsidRDefault="00B6496D" w:rsidP="00B6496D">
      <w:pPr>
        <w:rPr>
          <w:lang w:val="en-US"/>
        </w:rPr>
      </w:pPr>
      <w:r w:rsidRPr="00340613">
        <w:rPr>
          <w:b/>
          <w:i/>
          <w:lang w:val="en-US"/>
        </w:rPr>
        <w:t>Proposal</w:t>
      </w:r>
      <w:r>
        <w:rPr>
          <w:b/>
          <w:i/>
          <w:lang w:val="en-US"/>
        </w:rPr>
        <w:t xml:space="preserve"> 2</w:t>
      </w:r>
      <w:r w:rsidRPr="00340613">
        <w:rPr>
          <w:i/>
          <w:lang w:val="en-US"/>
        </w:rPr>
        <w:t>:</w:t>
      </w:r>
      <w:r>
        <w:rPr>
          <w:i/>
          <w:lang w:val="en-US"/>
        </w:rPr>
        <w:t xml:space="preserve"> For eNB, the performance requirements are defined only for PUSCH in eLAA</w:t>
      </w:r>
      <w:r w:rsidRPr="00340613">
        <w:rPr>
          <w:i/>
          <w:lang w:val="en-US"/>
        </w:rPr>
        <w:t xml:space="preserve">. </w:t>
      </w:r>
    </w:p>
    <w:p w:rsidR="00B6496D" w:rsidRDefault="00B6496D" w:rsidP="00B6496D">
      <w:pPr>
        <w:pStyle w:val="Heading3"/>
        <w:rPr>
          <w:lang w:val="en-US"/>
        </w:rPr>
      </w:pPr>
      <w:r w:rsidRPr="00B61E8E">
        <w:rPr>
          <w:lang w:val="en-US"/>
        </w:rPr>
        <w:t>Set up for PUSCH transmission</w:t>
      </w:r>
    </w:p>
    <w:p w:rsidR="00B6496D" w:rsidRDefault="00B6496D" w:rsidP="00B6496D">
      <w:pPr>
        <w:pStyle w:val="Heading4"/>
        <w:rPr>
          <w:lang w:val="en-US"/>
        </w:rPr>
      </w:pPr>
      <w:r>
        <w:rPr>
          <w:lang w:val="en-US"/>
        </w:rPr>
        <w:t>Antenna configuration</w:t>
      </w:r>
    </w:p>
    <w:p w:rsidR="00B6496D" w:rsidRDefault="00B6496D" w:rsidP="00B6496D">
      <w:pPr>
        <w:rPr>
          <w:lang w:val="en-US"/>
        </w:rPr>
      </w:pPr>
      <w:r>
        <w:rPr>
          <w:lang w:val="en-US"/>
        </w:rPr>
        <w:t xml:space="preserve">For most of practical deployments, the UE is only with one TX. For eNB side, there may be multiple RX configurations, such as 2 RX or 4 RX. Since most of eNBs support 2 RX, we can define 2 RX first and add performance later if needed. </w:t>
      </w:r>
    </w:p>
    <w:p w:rsidR="005E75BF" w:rsidRDefault="005E75BF" w:rsidP="00B61E8E">
      <w:pPr>
        <w:rPr>
          <w:lang w:val="en-US"/>
        </w:rPr>
      </w:pPr>
    </w:p>
    <w:p w:rsidR="00B61E8E" w:rsidRDefault="00B61E8E" w:rsidP="00B61E8E">
      <w:pPr>
        <w:pStyle w:val="Heading4"/>
        <w:rPr>
          <w:lang w:val="en-US"/>
        </w:rPr>
      </w:pPr>
      <w:r>
        <w:rPr>
          <w:lang w:val="en-US"/>
        </w:rPr>
        <w:t>Reference receiver assumption</w:t>
      </w:r>
    </w:p>
    <w:p w:rsidR="00B61E8E" w:rsidRDefault="00B61E8E" w:rsidP="00B61E8E">
      <w:pPr>
        <w:rPr>
          <w:lang w:val="en-US"/>
        </w:rPr>
      </w:pPr>
      <w:r>
        <w:rPr>
          <w:lang w:val="en-US"/>
        </w:rPr>
        <w:t xml:space="preserve">In legacy system, performance requirements are defined for two kinds of receiver, one is MRC receiver and one is IRC receiver. </w:t>
      </w:r>
      <w:r w:rsidR="00793DE7">
        <w:rPr>
          <w:lang w:val="en-US"/>
        </w:rPr>
        <w:t xml:space="preserve">For IRC, it is introduced in Rel-13. In the test, only noise is modelled. Under this condition, the performance of MRC shall be very similar to IRC. </w:t>
      </w:r>
      <w:r>
        <w:rPr>
          <w:lang w:val="en-US"/>
        </w:rPr>
        <w:t xml:space="preserve">As minimum performance requirements, MRC receiver can be assumed in the performance requirements. </w:t>
      </w:r>
    </w:p>
    <w:p w:rsidR="002674EA" w:rsidRPr="003C695C" w:rsidRDefault="002674EA" w:rsidP="002674EA">
      <w:pPr>
        <w:pStyle w:val="Heading4"/>
        <w:rPr>
          <w:lang w:val="en-US"/>
        </w:rPr>
      </w:pPr>
      <w:r>
        <w:rPr>
          <w:lang w:val="en-US"/>
        </w:rPr>
        <w:t>Channel bandwidth allocation</w:t>
      </w:r>
    </w:p>
    <w:p w:rsidR="005F518A" w:rsidRDefault="002674EA" w:rsidP="002D7552">
      <w:pPr>
        <w:rPr>
          <w:lang w:val="en-US"/>
        </w:rPr>
      </w:pPr>
      <w:r>
        <w:rPr>
          <w:lang w:val="en-US"/>
        </w:rPr>
        <w:t>For eLAA, there are two channel bandwidth</w:t>
      </w:r>
      <w:r w:rsidR="004F6435">
        <w:rPr>
          <w:lang w:val="en-US"/>
        </w:rPr>
        <w:t xml:space="preserve"> options</w:t>
      </w:r>
      <w:r>
        <w:rPr>
          <w:lang w:val="en-US"/>
        </w:rPr>
        <w:t xml:space="preserve"> for single carrier, one is 20MHz </w:t>
      </w:r>
      <w:r>
        <w:rPr>
          <w:rFonts w:hint="eastAsia"/>
          <w:lang w:val="en-US"/>
        </w:rPr>
        <w:t xml:space="preserve">and </w:t>
      </w:r>
      <w:r>
        <w:rPr>
          <w:lang w:val="en-US"/>
        </w:rPr>
        <w:t xml:space="preserve">one is 10MHz. In practical network, 20MHz is more widely used. Thus, 20MHz can be set as the channel bandwidth. </w:t>
      </w:r>
    </w:p>
    <w:p w:rsidR="003C695C" w:rsidRDefault="00772C05" w:rsidP="002D7552">
      <w:pPr>
        <w:rPr>
          <w:lang w:val="en-US"/>
        </w:rPr>
      </w:pPr>
      <w:r>
        <w:rPr>
          <w:lang w:val="en-US"/>
        </w:rPr>
        <w:t>For multiple</w:t>
      </w:r>
      <w:r w:rsidR="005F518A">
        <w:rPr>
          <w:lang w:val="en-US"/>
        </w:rPr>
        <w:t>-</w:t>
      </w:r>
      <w:r>
        <w:rPr>
          <w:lang w:val="en-US"/>
        </w:rPr>
        <w:t xml:space="preserve">carrier case, since most of UE may only support one or two uplink carriers. Thus, it is reasonable to configure two downlink carriers and two uplink carriers in the test. One is license carrier and one is unlicensed carrier for both downlink and uplink. </w:t>
      </w:r>
      <w:r w:rsidR="00743158">
        <w:rPr>
          <w:lang w:val="en-US"/>
        </w:rPr>
        <w:t>Each carrier is with 20 MHz</w:t>
      </w:r>
      <w:r w:rsidR="00743158">
        <w:rPr>
          <w:rFonts w:hint="eastAsia"/>
          <w:lang w:val="en-US"/>
        </w:rPr>
        <w:t>.</w:t>
      </w:r>
      <w:r w:rsidR="00743158">
        <w:rPr>
          <w:lang w:val="en-US"/>
        </w:rPr>
        <w:t xml:space="preserve"> </w:t>
      </w:r>
    </w:p>
    <w:p w:rsidR="00191EAF" w:rsidRDefault="00191EAF" w:rsidP="00743158">
      <w:pPr>
        <w:rPr>
          <w:b/>
          <w:lang w:val="en-US"/>
        </w:rPr>
      </w:pPr>
    </w:p>
    <w:p w:rsidR="00191EAF" w:rsidRDefault="00191EAF" w:rsidP="00191EAF">
      <w:pPr>
        <w:pStyle w:val="Heading4"/>
        <w:rPr>
          <w:lang w:val="en-US"/>
        </w:rPr>
      </w:pPr>
      <w:r w:rsidRPr="00191EAF">
        <w:rPr>
          <w:lang w:val="en-US"/>
        </w:rPr>
        <w:lastRenderedPageBreak/>
        <w:t>Channel model</w:t>
      </w:r>
    </w:p>
    <w:p w:rsidR="00257EDD" w:rsidRDefault="00257EDD" w:rsidP="00191EAF">
      <w:pPr>
        <w:rPr>
          <w:lang w:val="en-US"/>
        </w:rPr>
      </w:pPr>
      <w:r>
        <w:rPr>
          <w:lang w:val="en-US"/>
        </w:rPr>
        <w:t xml:space="preserve">In the legacy test, we have several channel models, such as </w:t>
      </w:r>
      <w:r w:rsidR="008D0C4E">
        <w:rPr>
          <w:lang w:val="en-US"/>
        </w:rPr>
        <w:t>“</w:t>
      </w:r>
      <w:r>
        <w:rPr>
          <w:lang w:val="en-US"/>
        </w:rPr>
        <w:t>EPA 5Hz low</w:t>
      </w:r>
      <w:r w:rsidR="008D0C4E">
        <w:rPr>
          <w:lang w:val="en-US"/>
        </w:rPr>
        <w:t>”</w:t>
      </w:r>
      <w:r>
        <w:rPr>
          <w:lang w:val="en-US"/>
        </w:rPr>
        <w:t xml:space="preserve">, </w:t>
      </w:r>
      <w:r w:rsidR="008D0C4E">
        <w:rPr>
          <w:lang w:val="en-US"/>
        </w:rPr>
        <w:t>“</w:t>
      </w:r>
      <w:r>
        <w:rPr>
          <w:lang w:val="en-US"/>
        </w:rPr>
        <w:t>EVA 5Hz Low</w:t>
      </w:r>
      <w:r w:rsidR="008D0C4E">
        <w:rPr>
          <w:lang w:val="en-US"/>
        </w:rPr>
        <w:t>”</w:t>
      </w:r>
      <w:r>
        <w:rPr>
          <w:lang w:val="en-US"/>
        </w:rPr>
        <w:t xml:space="preserve">, </w:t>
      </w:r>
      <w:r w:rsidR="008D0C4E">
        <w:rPr>
          <w:lang w:val="en-US"/>
        </w:rPr>
        <w:t>“</w:t>
      </w:r>
      <w:r>
        <w:rPr>
          <w:lang w:val="en-US"/>
        </w:rPr>
        <w:t>EVA70Hz Low</w:t>
      </w:r>
      <w:r w:rsidR="008D0C4E">
        <w:rPr>
          <w:lang w:val="en-US"/>
        </w:rPr>
        <w:t>”</w:t>
      </w:r>
      <w:r>
        <w:rPr>
          <w:lang w:val="en-US"/>
        </w:rPr>
        <w:t xml:space="preserve">, </w:t>
      </w:r>
      <w:r w:rsidR="008D0C4E">
        <w:rPr>
          <w:lang w:val="en-US"/>
        </w:rPr>
        <w:t>“</w:t>
      </w:r>
      <w:r>
        <w:rPr>
          <w:lang w:val="en-US"/>
        </w:rPr>
        <w:t>ETU 70Hz Low</w:t>
      </w:r>
      <w:r w:rsidR="008D0C4E">
        <w:rPr>
          <w:lang w:val="en-US"/>
        </w:rPr>
        <w:t>”</w:t>
      </w:r>
      <w:r>
        <w:rPr>
          <w:lang w:val="en-US"/>
        </w:rPr>
        <w:t xml:space="preserve">, </w:t>
      </w:r>
      <w:r w:rsidR="008D0C4E">
        <w:rPr>
          <w:lang w:val="en-US"/>
        </w:rPr>
        <w:t>“</w:t>
      </w:r>
      <w:r>
        <w:rPr>
          <w:lang w:val="en-US"/>
        </w:rPr>
        <w:t>ETU 300Hz Low</w:t>
      </w:r>
      <w:r w:rsidR="008D0C4E">
        <w:rPr>
          <w:lang w:val="en-US"/>
        </w:rPr>
        <w:t>”</w:t>
      </w:r>
      <w:r>
        <w:rPr>
          <w:lang w:val="en-US"/>
        </w:rPr>
        <w:t xml:space="preserve">. In eLAA test, we just need to consider </w:t>
      </w:r>
      <w:r w:rsidR="008D0C4E">
        <w:rPr>
          <w:lang w:val="en-US"/>
        </w:rPr>
        <w:t>“</w:t>
      </w:r>
      <w:r>
        <w:rPr>
          <w:lang w:val="en-US"/>
        </w:rPr>
        <w:t>EVA 5Hz Low</w:t>
      </w:r>
      <w:r w:rsidR="008D0C4E">
        <w:rPr>
          <w:lang w:val="en-US"/>
        </w:rPr>
        <w:t>”</w:t>
      </w:r>
      <w:r>
        <w:rPr>
          <w:lang w:val="en-US"/>
        </w:rPr>
        <w:t>.</w:t>
      </w:r>
      <w:r w:rsidR="00084CAF">
        <w:rPr>
          <w:lang w:val="en-US"/>
        </w:rPr>
        <w:t xml:space="preserve"> For other channel model, the eNB behavior is quite similar. Hence, it is not necessary to elaborate all the channel models. </w:t>
      </w:r>
    </w:p>
    <w:p w:rsidR="00F85578" w:rsidRPr="00191EAF" w:rsidRDefault="00F85578" w:rsidP="00191EAF">
      <w:pPr>
        <w:rPr>
          <w:lang w:val="en-US"/>
        </w:rPr>
      </w:pPr>
    </w:p>
    <w:p w:rsidR="00450BA5" w:rsidRDefault="00450BA5" w:rsidP="00450BA5">
      <w:pPr>
        <w:pStyle w:val="Heading4"/>
        <w:rPr>
          <w:lang w:val="en-US"/>
        </w:rPr>
      </w:pPr>
      <w:r w:rsidRPr="00450BA5">
        <w:rPr>
          <w:lang w:val="en-US"/>
        </w:rPr>
        <w:t>Starting PUSCH symbol configuration</w:t>
      </w:r>
    </w:p>
    <w:p w:rsidR="005058D7" w:rsidRDefault="00B109C7" w:rsidP="005058D7">
      <w:r>
        <w:rPr>
          <w:lang w:val="en-US"/>
        </w:rPr>
        <w:t xml:space="preserve">In RAN1, </w:t>
      </w:r>
      <w:r w:rsidR="00D47BE8" w:rsidRPr="005058D7">
        <w:t>one</w:t>
      </w:r>
      <w:r w:rsidR="005058D7">
        <w:t xml:space="preserve"> </w:t>
      </w:r>
      <w:r w:rsidR="005058D7" w:rsidRPr="005058D7">
        <w:t>of four starting symbol positions can be signalled for the first subframe in DCI formats 0/4A/0B/4B</w:t>
      </w:r>
      <w:r w:rsidR="005058D7">
        <w:t>, they are shown in</w:t>
      </w:r>
      <w:r w:rsidR="00F56C16">
        <w:t xml:space="preserve"> </w:t>
      </w:r>
      <w:r w:rsidR="00F56C16">
        <w:fldChar w:fldCharType="begin"/>
      </w:r>
      <w:r w:rsidR="00F56C16">
        <w:instrText xml:space="preserve"> REF _Ref462922502 \h </w:instrText>
      </w:r>
      <w:r w:rsidR="00F56C16">
        <w:fldChar w:fldCharType="separate"/>
      </w:r>
      <w:r w:rsidR="00827789">
        <w:t xml:space="preserve">Table </w:t>
      </w:r>
      <w:r w:rsidR="00827789">
        <w:rPr>
          <w:noProof/>
        </w:rPr>
        <w:t>2</w:t>
      </w:r>
      <w:r w:rsidR="00F56C16">
        <w:fldChar w:fldCharType="end"/>
      </w:r>
      <w:r w:rsidR="00F56C16">
        <w:t>.</w:t>
      </w:r>
      <w:r w:rsidR="005058D7">
        <w:t xml:space="preserve"> </w:t>
      </w:r>
    </w:p>
    <w:p w:rsidR="005058D7" w:rsidRPr="005777CA" w:rsidRDefault="00653390" w:rsidP="00653390">
      <w:pPr>
        <w:pStyle w:val="Caption"/>
        <w:rPr>
          <w:rFonts w:cs="Arial"/>
        </w:rPr>
      </w:pPr>
      <w:bookmarkStart w:id="6" w:name="_Ref462922502"/>
      <w:r>
        <w:t xml:space="preserve">Table </w:t>
      </w:r>
      <w:r>
        <w:fldChar w:fldCharType="begin"/>
      </w:r>
      <w:r>
        <w:instrText xml:space="preserve"> SEQ Table \* ARABIC </w:instrText>
      </w:r>
      <w:r>
        <w:fldChar w:fldCharType="separate"/>
      </w:r>
      <w:r w:rsidR="004155E8">
        <w:rPr>
          <w:noProof/>
        </w:rPr>
        <w:t>2</w:t>
      </w:r>
      <w:r>
        <w:fldChar w:fldCharType="end"/>
      </w:r>
      <w:bookmarkEnd w:id="6"/>
      <w:r w:rsidR="005058D7" w:rsidRPr="005777CA">
        <w:rPr>
          <w:rFonts w:cs="Arial"/>
        </w:rPr>
        <w:t xml:space="preserve">: </w:t>
      </w:r>
      <w:r w:rsidR="005058D7">
        <w:rPr>
          <w:rFonts w:hint="eastAsia"/>
        </w:rPr>
        <w:t>PUSCH starting position</w:t>
      </w:r>
      <w:r w:rsidR="005058D7" w:rsidRPr="005777C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2551"/>
      </w:tblGrid>
      <w:tr w:rsidR="005058D7" w:rsidTr="00450666">
        <w:trPr>
          <w:jc w:val="center"/>
        </w:trPr>
        <w:tc>
          <w:tcPr>
            <w:tcW w:w="0" w:type="auto"/>
            <w:vAlign w:val="center"/>
          </w:tcPr>
          <w:p w:rsidR="005058D7" w:rsidRPr="007C69F5" w:rsidRDefault="005058D7" w:rsidP="00450666">
            <w:pPr>
              <w:jc w:val="center"/>
              <w:rPr>
                <w:b/>
              </w:rPr>
            </w:pPr>
            <w:r w:rsidRPr="007C69F5">
              <w:rPr>
                <w:rFonts w:hint="eastAsia"/>
                <w:b/>
              </w:rPr>
              <w:t>Value</w:t>
            </w:r>
          </w:p>
        </w:tc>
        <w:tc>
          <w:tcPr>
            <w:tcW w:w="0" w:type="auto"/>
          </w:tcPr>
          <w:p w:rsidR="005058D7" w:rsidRPr="007C69F5" w:rsidRDefault="005058D7" w:rsidP="00450666">
            <w:pPr>
              <w:jc w:val="center"/>
              <w:rPr>
                <w:b/>
              </w:rPr>
            </w:pPr>
            <w:r w:rsidRPr="007C69F5">
              <w:rPr>
                <w:rFonts w:hint="eastAsia"/>
                <w:b/>
              </w:rPr>
              <w:t>PUSCH starting position</w:t>
            </w:r>
          </w:p>
        </w:tc>
      </w:tr>
      <w:tr w:rsidR="005058D7" w:rsidTr="00450666">
        <w:trPr>
          <w:jc w:val="center"/>
        </w:trPr>
        <w:tc>
          <w:tcPr>
            <w:tcW w:w="0" w:type="auto"/>
          </w:tcPr>
          <w:p w:rsidR="005058D7" w:rsidRDefault="005058D7" w:rsidP="00450666">
            <w:pPr>
              <w:jc w:val="center"/>
            </w:pPr>
            <w:r>
              <w:rPr>
                <w:rFonts w:hint="eastAsia"/>
              </w:rPr>
              <w:t>00</w:t>
            </w:r>
          </w:p>
        </w:tc>
        <w:tc>
          <w:tcPr>
            <w:tcW w:w="0" w:type="auto"/>
          </w:tcPr>
          <w:p w:rsidR="005058D7" w:rsidRDefault="005058D7" w:rsidP="00450666">
            <w:pPr>
              <w:jc w:val="center"/>
            </w:pPr>
            <w:r>
              <w:t>s</w:t>
            </w:r>
            <w:r>
              <w:rPr>
                <w:rFonts w:hint="eastAsia"/>
              </w:rPr>
              <w:t>ymbol 0</w:t>
            </w:r>
          </w:p>
        </w:tc>
      </w:tr>
      <w:tr w:rsidR="005058D7" w:rsidTr="00450666">
        <w:trPr>
          <w:jc w:val="center"/>
        </w:trPr>
        <w:tc>
          <w:tcPr>
            <w:tcW w:w="0" w:type="auto"/>
          </w:tcPr>
          <w:p w:rsidR="005058D7" w:rsidRDefault="005058D7" w:rsidP="00450666">
            <w:pPr>
              <w:jc w:val="center"/>
            </w:pPr>
            <w:r>
              <w:rPr>
                <w:rFonts w:hint="eastAsia"/>
              </w:rPr>
              <w:t>01</w:t>
            </w:r>
          </w:p>
        </w:tc>
        <w:tc>
          <w:tcPr>
            <w:tcW w:w="0" w:type="auto"/>
          </w:tcPr>
          <w:p w:rsidR="005058D7" w:rsidRDefault="005058D7" w:rsidP="00450666">
            <w:pPr>
              <w:jc w:val="center"/>
            </w:pPr>
            <w:r>
              <w:rPr>
                <w:rFonts w:hint="eastAsia"/>
              </w:rPr>
              <w:t>25</w:t>
            </w:r>
            <w:r>
              <w:t>µ</w:t>
            </w:r>
            <w:r>
              <w:rPr>
                <w:rFonts w:hint="eastAsia"/>
              </w:rPr>
              <w:t>s in symbol 0</w:t>
            </w:r>
          </w:p>
        </w:tc>
      </w:tr>
      <w:tr w:rsidR="005058D7" w:rsidTr="00450666">
        <w:trPr>
          <w:jc w:val="center"/>
        </w:trPr>
        <w:tc>
          <w:tcPr>
            <w:tcW w:w="0" w:type="auto"/>
          </w:tcPr>
          <w:p w:rsidR="005058D7" w:rsidRDefault="005058D7" w:rsidP="00450666">
            <w:pPr>
              <w:jc w:val="center"/>
            </w:pPr>
            <w:r>
              <w:rPr>
                <w:rFonts w:hint="eastAsia"/>
              </w:rPr>
              <w:t>10</w:t>
            </w:r>
          </w:p>
        </w:tc>
        <w:tc>
          <w:tcPr>
            <w:tcW w:w="0" w:type="auto"/>
          </w:tcPr>
          <w:p w:rsidR="005058D7" w:rsidRDefault="005058D7" w:rsidP="00450666">
            <w:pPr>
              <w:jc w:val="center"/>
            </w:pPr>
            <w:r>
              <w:rPr>
                <w:rFonts w:hint="eastAsia"/>
              </w:rPr>
              <w:t>(25+TA)</w:t>
            </w:r>
            <w:r>
              <w:t xml:space="preserve"> µ</w:t>
            </w:r>
            <w:r>
              <w:rPr>
                <w:rFonts w:hint="eastAsia"/>
              </w:rPr>
              <w:t>s in symbol 0</w:t>
            </w:r>
          </w:p>
        </w:tc>
      </w:tr>
      <w:tr w:rsidR="005058D7" w:rsidTr="00450666">
        <w:trPr>
          <w:jc w:val="center"/>
        </w:trPr>
        <w:tc>
          <w:tcPr>
            <w:tcW w:w="0" w:type="auto"/>
          </w:tcPr>
          <w:p w:rsidR="005058D7" w:rsidRDefault="005058D7" w:rsidP="00450666">
            <w:pPr>
              <w:jc w:val="center"/>
            </w:pPr>
            <w:r>
              <w:rPr>
                <w:rFonts w:hint="eastAsia"/>
              </w:rPr>
              <w:t>11</w:t>
            </w:r>
          </w:p>
        </w:tc>
        <w:tc>
          <w:tcPr>
            <w:tcW w:w="0" w:type="auto"/>
          </w:tcPr>
          <w:p w:rsidR="005058D7" w:rsidRPr="00332523" w:rsidRDefault="005058D7" w:rsidP="00450666">
            <w:pPr>
              <w:jc w:val="center"/>
            </w:pPr>
            <w:r>
              <w:t>s</w:t>
            </w:r>
            <w:r>
              <w:rPr>
                <w:rFonts w:hint="eastAsia"/>
              </w:rPr>
              <w:t>ymbol 1</w:t>
            </w:r>
          </w:p>
        </w:tc>
      </w:tr>
    </w:tbl>
    <w:p w:rsidR="005058D7" w:rsidRPr="005058D7" w:rsidRDefault="005058D7" w:rsidP="005058D7"/>
    <w:p w:rsidR="00450BA5" w:rsidRDefault="00BA30EB" w:rsidP="00BA30EB">
      <w:r>
        <w:t xml:space="preserve">If value “00” is selected, it is quite similar to the legacy performance, and in case “01” “10” and “11” are selected, </w:t>
      </w:r>
      <w:r w:rsidR="007D0B13">
        <w:t xml:space="preserve">new </w:t>
      </w:r>
      <w:r>
        <w:t>eNB behaviour</w:t>
      </w:r>
      <w:r w:rsidR="007D0B13">
        <w:t xml:space="preserve"> is expected.</w:t>
      </w:r>
      <w:r w:rsidR="003D2F26">
        <w:t xml:space="preserve"> </w:t>
      </w:r>
      <w:r w:rsidR="007D0B13">
        <w:t xml:space="preserve">But the new behaviour </w:t>
      </w:r>
      <w:r>
        <w:t>is quite similar</w:t>
      </w:r>
      <w:r w:rsidR="007D0B13">
        <w:t xml:space="preserve"> for case “01” “10” “11”</w:t>
      </w:r>
      <w:r>
        <w:t>.</w:t>
      </w:r>
      <w:r w:rsidR="003D2F26">
        <w:t xml:space="preserve"> For case “11”, eNB just need to blank symbol 0. For case “01” and “10”, partial OFDM symbol 0 is blanked.</w:t>
      </w:r>
      <w:r w:rsidR="008D3A9B">
        <w:t xml:space="preserve"> Compared with case “11”, it seems “01” or “10” is more general. Thus, we can select “01” as the configuration. </w:t>
      </w:r>
      <w:r w:rsidR="003D2F26">
        <w:t xml:space="preserve"> </w:t>
      </w:r>
    </w:p>
    <w:p w:rsidR="005E75BF" w:rsidRPr="005058D7" w:rsidRDefault="005E75BF" w:rsidP="00BA30EB"/>
    <w:p w:rsidR="001F4E64" w:rsidRDefault="001F4E64" w:rsidP="001F4E64">
      <w:pPr>
        <w:pStyle w:val="Heading4"/>
        <w:rPr>
          <w:lang w:val="en-US"/>
        </w:rPr>
      </w:pPr>
      <w:r>
        <w:rPr>
          <w:lang w:val="en-US"/>
        </w:rPr>
        <w:t>Ending symbol configuration</w:t>
      </w:r>
    </w:p>
    <w:p w:rsidR="0096633E" w:rsidRPr="00E14503" w:rsidRDefault="00E94D1D" w:rsidP="00E14503">
      <w:pPr>
        <w:tabs>
          <w:tab w:val="num" w:pos="720"/>
        </w:tabs>
        <w:rPr>
          <w:lang w:val="en-US"/>
        </w:rPr>
      </w:pPr>
      <w:r>
        <w:rPr>
          <w:lang w:val="en-US"/>
        </w:rPr>
        <w:t xml:space="preserve">According to RAN1 agreements, one of two ending symbol positions can be configured. </w:t>
      </w:r>
      <w:r w:rsidR="00E14503">
        <w:rPr>
          <w:lang w:val="en-US"/>
        </w:rPr>
        <w:t>V</w:t>
      </w:r>
      <w:r w:rsidR="00D53638" w:rsidRPr="00E14503">
        <w:rPr>
          <w:lang w:val="en-US"/>
        </w:rPr>
        <w:t>alue 0 indicates PUSCH in a UL subframe is transmitted up to OFDM symbol 13 and value 1 indicates PUSCH is transmitted up to OFDM symbol 12</w:t>
      </w:r>
      <w:r w:rsidR="00E14503">
        <w:rPr>
          <w:lang w:val="en-US"/>
        </w:rPr>
        <w:t xml:space="preserve">. In order to simply the </w:t>
      </w:r>
      <w:r w:rsidR="00787C49">
        <w:rPr>
          <w:lang w:val="en-US"/>
        </w:rPr>
        <w:t>test, only</w:t>
      </w:r>
      <w:r w:rsidR="00E14503">
        <w:rPr>
          <w:lang w:val="en-US"/>
        </w:rPr>
        <w:t xml:space="preserve"> one value is selected for the PUSCH transmission, for example, value “1” is used to indicate to simply the test. </w:t>
      </w:r>
    </w:p>
    <w:p w:rsidR="00E14503" w:rsidRDefault="00E14503" w:rsidP="00E94D1D">
      <w:pPr>
        <w:rPr>
          <w:lang w:val="en-US"/>
        </w:rPr>
      </w:pPr>
    </w:p>
    <w:p w:rsidR="00787C49" w:rsidRDefault="00787C49" w:rsidP="00787C49">
      <w:pPr>
        <w:pStyle w:val="Heading4"/>
        <w:rPr>
          <w:lang w:val="en-US"/>
        </w:rPr>
      </w:pPr>
      <w:r>
        <w:rPr>
          <w:lang w:val="en-US"/>
        </w:rPr>
        <w:t>Resource allocation</w:t>
      </w:r>
    </w:p>
    <w:p w:rsidR="008416C8" w:rsidRDefault="00B05E20" w:rsidP="00B05E20">
      <w:pPr>
        <w:rPr>
          <w:lang w:val="en-US"/>
        </w:rPr>
      </w:pPr>
      <w:r>
        <w:rPr>
          <w:lang w:val="en-US"/>
        </w:rPr>
        <w:t xml:space="preserve">According to the RAN1 agreements, we have two type resource allocations, one is </w:t>
      </w:r>
      <w:r w:rsidR="008416C8">
        <w:rPr>
          <w:lang w:val="en-US"/>
        </w:rPr>
        <w:t xml:space="preserve">continuous interlace allocation and one is distributed interlace </w:t>
      </w:r>
      <w:r>
        <w:rPr>
          <w:lang w:val="en-US"/>
        </w:rPr>
        <w:t>allocation</w:t>
      </w:r>
      <w:r w:rsidR="008416C8">
        <w:rPr>
          <w:lang w:val="en-US"/>
        </w:rPr>
        <w:t>. The description is defined in 36.213 as:</w:t>
      </w:r>
    </w:p>
    <w:p w:rsidR="008416C8" w:rsidRDefault="008416C8" w:rsidP="008416C8"/>
    <w:p w:rsidR="008416C8" w:rsidRPr="008416C8" w:rsidRDefault="008416C8" w:rsidP="008416C8">
      <w:pPr>
        <w:rPr>
          <w:i/>
        </w:rPr>
      </w:pPr>
      <w:r w:rsidRPr="008416C8">
        <w:rPr>
          <w:i/>
        </w:rPr>
        <w:t xml:space="preserve">Uplink resource allocation type 3 is only applicable for a LAA SCell. </w:t>
      </w:r>
      <w:r w:rsidRPr="008416C8">
        <w:rPr>
          <w:rFonts w:hint="eastAsia"/>
          <w:i/>
        </w:rPr>
        <w:t>The resource allocation information</w:t>
      </w:r>
      <w:r w:rsidRPr="008416C8">
        <w:rPr>
          <w:i/>
        </w:rPr>
        <w:t xml:space="preserve"> for uplink resource allocation type 3</w:t>
      </w:r>
      <w:r w:rsidRPr="008416C8">
        <w:rPr>
          <w:rFonts w:hint="eastAsia"/>
          <w:i/>
        </w:rPr>
        <w:t xml:space="preserve"> indicates to a scheduled UE a set of allocated resource block</w:t>
      </w:r>
      <w:r w:rsidRPr="008416C8">
        <w:rPr>
          <w:i/>
        </w:rPr>
        <w:t xml:space="preserve">s, </w:t>
      </w:r>
      <w:r w:rsidRPr="008416C8">
        <w:rPr>
          <w:i/>
          <w:position w:val="-10"/>
        </w:rPr>
        <w:object w:dxaOrig="1520" w:dyaOrig="300">
          <v:shape id="_x0000_i1027" type="#_x0000_t75" style="width:75.75pt;height:15pt" o:ole="">
            <v:imagedata r:id="rId12" o:title=""/>
          </v:shape>
          <o:OLEObject Type="Embed" ProgID="Equation.3" ShapeID="_x0000_i1027" DrawAspect="Content" ObjectID="_1536799268" r:id="rId13"/>
        </w:object>
      </w:r>
      <w:r w:rsidRPr="008416C8">
        <w:rPr>
          <w:i/>
        </w:rPr>
        <w:t xml:space="preserve"> where, </w:t>
      </w:r>
      <w:r w:rsidRPr="008416C8">
        <w:rPr>
          <w:i/>
          <w:position w:val="-10"/>
        </w:rPr>
        <w:object w:dxaOrig="1240" w:dyaOrig="340">
          <v:shape id="_x0000_i1028" type="#_x0000_t75" style="width:61.5pt;height:17.25pt" o:ole="">
            <v:imagedata r:id="rId14" o:title=""/>
          </v:shape>
          <o:OLEObject Type="Embed" ProgID="Equation.3" ShapeID="_x0000_i1028" DrawAspect="Content" ObjectID="_1536799269" r:id="rId15"/>
        </w:object>
      </w:r>
      <w:r w:rsidRPr="008416C8">
        <w:rPr>
          <w:i/>
        </w:rPr>
        <w:t xml:space="preserve">, </w:t>
      </w:r>
      <w:r w:rsidRPr="008416C8">
        <w:rPr>
          <w:i/>
          <w:position w:val="-8"/>
        </w:rPr>
        <w:object w:dxaOrig="920" w:dyaOrig="260">
          <v:shape id="_x0000_i1029" type="#_x0000_t75" style="width:46.5pt;height:12.75pt" o:ole="">
            <v:imagedata r:id="rId16" o:title=""/>
          </v:shape>
          <o:OLEObject Type="Embed" ProgID="Equation.3" ShapeID="_x0000_i1029" DrawAspect="Content" ObjectID="_1536799270" r:id="rId17"/>
        </w:object>
      </w:r>
      <w:r w:rsidRPr="008416C8">
        <w:rPr>
          <w:i/>
        </w:rPr>
        <w:t xml:space="preserve">. A resource allocation field in the scheduling grant consists of a resource indication value (RIV).  </w:t>
      </w:r>
    </w:p>
    <w:p w:rsidR="008416C8" w:rsidRPr="008416C8" w:rsidRDefault="008416C8" w:rsidP="008416C8">
      <w:pPr>
        <w:rPr>
          <w:i/>
        </w:rPr>
      </w:pPr>
      <w:r w:rsidRPr="008416C8">
        <w:rPr>
          <w:i/>
        </w:rPr>
        <w:t xml:space="preserve">For </w:t>
      </w:r>
      <w:r w:rsidRPr="008416C8">
        <w:rPr>
          <w:i/>
          <w:position w:val="-10"/>
        </w:rPr>
        <w:object w:dxaOrig="1860" w:dyaOrig="279">
          <v:shape id="_x0000_i1030" type="#_x0000_t75" style="width:93pt;height:14.25pt" o:ole="">
            <v:imagedata r:id="rId18" o:title=""/>
          </v:shape>
          <o:OLEObject Type="Embed" ProgID="Equation.3" ShapeID="_x0000_i1030" DrawAspect="Content" ObjectID="_1536799271" r:id="rId19"/>
        </w:object>
      </w:r>
      <w:r w:rsidRPr="008416C8">
        <w:rPr>
          <w:i/>
        </w:rPr>
        <w:t xml:space="preserve"> , </w:t>
      </w:r>
      <w:r w:rsidRPr="008416C8">
        <w:rPr>
          <w:i/>
          <w:position w:val="-8"/>
        </w:rPr>
        <w:object w:dxaOrig="1180" w:dyaOrig="260">
          <v:shape id="_x0000_i1031" type="#_x0000_t75" style="width:59.25pt;height:12.75pt" o:ole="">
            <v:imagedata r:id="rId20" o:title=""/>
          </v:shape>
          <o:OLEObject Type="Embed" ProgID="Equation.3" ShapeID="_x0000_i1031" DrawAspect="Content" ObjectID="_1536799272" r:id="rId21"/>
        </w:object>
      </w:r>
      <w:r w:rsidRPr="008416C8">
        <w:rPr>
          <w:i/>
        </w:rPr>
        <w:t xml:space="preserve"> and the resource indication value corresponds to the starting resource block (</w:t>
      </w:r>
      <w:r w:rsidRPr="008416C8">
        <w:rPr>
          <w:i/>
          <w:position w:val="-10"/>
        </w:rPr>
        <w:object w:dxaOrig="760" w:dyaOrig="300">
          <v:shape id="_x0000_i1032" type="#_x0000_t75" style="width:38.25pt;height:15pt" o:ole="">
            <v:imagedata r:id="rId22" o:title=""/>
          </v:shape>
          <o:OLEObject Type="Embed" ProgID="Equation.3" ShapeID="_x0000_i1032" DrawAspect="Content" ObjectID="_1536799273" r:id="rId23"/>
        </w:object>
      </w:r>
      <w:r w:rsidRPr="008416C8">
        <w:rPr>
          <w:i/>
        </w:rPr>
        <w:t xml:space="preserve">) and the value of </w:t>
      </w:r>
      <w:r w:rsidRPr="008416C8">
        <w:rPr>
          <w:i/>
          <w:position w:val="-4"/>
        </w:rPr>
        <w:object w:dxaOrig="200" w:dyaOrig="220">
          <v:shape id="_x0000_i1033" type="#_x0000_t75" style="width:10.5pt;height:10.5pt" o:ole="">
            <v:imagedata r:id="rId24" o:title=""/>
          </v:shape>
          <o:OLEObject Type="Embed" ProgID="Equation.3" ShapeID="_x0000_i1033" DrawAspect="Content" ObjectID="_1536799274" r:id="rId25"/>
        </w:object>
      </w:r>
      <w:r w:rsidRPr="008416C8">
        <w:rPr>
          <w:i/>
        </w:rPr>
        <w:t>(</w:t>
      </w:r>
      <w:r w:rsidRPr="008416C8">
        <w:rPr>
          <w:i/>
          <w:position w:val="-4"/>
        </w:rPr>
        <w:object w:dxaOrig="460" w:dyaOrig="220">
          <v:shape id="_x0000_i1034" type="#_x0000_t75" style="width:23.25pt;height:10.5pt" o:ole="">
            <v:imagedata r:id="rId26" o:title=""/>
          </v:shape>
          <o:OLEObject Type="Embed" ProgID="Equation.3" ShapeID="_x0000_i1034" DrawAspect="Content" ObjectID="_1536799275" r:id="rId27"/>
        </w:object>
      </w:r>
      <w:r w:rsidRPr="008416C8">
        <w:rPr>
          <w:i/>
        </w:rPr>
        <w:t>) . The resource indication value is defined by,</w:t>
      </w:r>
    </w:p>
    <w:p w:rsidR="008416C8" w:rsidRPr="008416C8" w:rsidRDefault="008416C8" w:rsidP="008416C8">
      <w:pPr>
        <w:ind w:left="576" w:hanging="288"/>
        <w:rPr>
          <w:i/>
        </w:rPr>
      </w:pPr>
      <w:r w:rsidRPr="008416C8">
        <w:rPr>
          <w:i/>
        </w:rPr>
        <w:t xml:space="preserve">if </w:t>
      </w:r>
      <w:r w:rsidRPr="008416C8">
        <w:rPr>
          <w:i/>
          <w:position w:val="-10"/>
        </w:rPr>
        <w:object w:dxaOrig="1380" w:dyaOrig="360">
          <v:shape id="_x0000_i1035" type="#_x0000_t75" style="width:69pt;height:18pt" o:ole="">
            <v:imagedata r:id="rId28" o:title=""/>
          </v:shape>
          <o:OLEObject Type="Embed" ProgID="Equation.3" ShapeID="_x0000_i1035" DrawAspect="Content" ObjectID="_1536799276" r:id="rId29"/>
        </w:object>
      </w:r>
      <w:r w:rsidRPr="008416C8">
        <w:rPr>
          <w:i/>
        </w:rPr>
        <w:t xml:space="preserve"> then</w:t>
      </w:r>
    </w:p>
    <w:p w:rsidR="008416C8" w:rsidRPr="008416C8" w:rsidRDefault="008416C8" w:rsidP="008416C8">
      <w:pPr>
        <w:ind w:left="864" w:hanging="288"/>
        <w:rPr>
          <w:i/>
        </w:rPr>
      </w:pPr>
      <w:r w:rsidRPr="008416C8">
        <w:rPr>
          <w:i/>
          <w:position w:val="-14"/>
        </w:rPr>
        <w:object w:dxaOrig="2260" w:dyaOrig="340">
          <v:shape id="_x0000_i1036" type="#_x0000_t75" style="width:112.5pt;height:17.25pt" o:ole="">
            <v:imagedata r:id="rId30" o:title=""/>
          </v:shape>
          <o:OLEObject Type="Embed" ProgID="Equation.3" ShapeID="_x0000_i1036" DrawAspect="Content" ObjectID="_1536799277" r:id="rId31"/>
        </w:object>
      </w:r>
    </w:p>
    <w:p w:rsidR="008416C8" w:rsidRPr="008416C8" w:rsidRDefault="008416C8" w:rsidP="008416C8">
      <w:pPr>
        <w:ind w:left="576" w:hanging="288"/>
        <w:rPr>
          <w:i/>
        </w:rPr>
      </w:pPr>
      <w:r w:rsidRPr="008416C8">
        <w:rPr>
          <w:i/>
        </w:rPr>
        <w:t xml:space="preserve">else </w:t>
      </w:r>
    </w:p>
    <w:p w:rsidR="008416C8" w:rsidRPr="008416C8" w:rsidRDefault="008416C8" w:rsidP="008416C8">
      <w:pPr>
        <w:ind w:left="864" w:hanging="288"/>
        <w:rPr>
          <w:i/>
        </w:rPr>
      </w:pPr>
      <w:r w:rsidRPr="008416C8">
        <w:rPr>
          <w:i/>
          <w:position w:val="-10"/>
        </w:rPr>
        <w:object w:dxaOrig="3260" w:dyaOrig="300">
          <v:shape id="_x0000_i1037" type="#_x0000_t75" style="width:162.75pt;height:15pt" o:ole="">
            <v:imagedata r:id="rId32" o:title=""/>
          </v:shape>
          <o:OLEObject Type="Embed" ProgID="Equation.3" ShapeID="_x0000_i1037" DrawAspect="Content" ObjectID="_1536799278" r:id="rId33"/>
        </w:object>
      </w:r>
    </w:p>
    <w:p w:rsidR="008416C8" w:rsidRPr="008416C8" w:rsidRDefault="008416C8" w:rsidP="008416C8">
      <w:pPr>
        <w:rPr>
          <w:i/>
        </w:rPr>
      </w:pPr>
      <w:r w:rsidRPr="008416C8">
        <w:rPr>
          <w:i/>
        </w:rPr>
        <w:t xml:space="preserve">For </w:t>
      </w:r>
      <w:r w:rsidRPr="008416C8">
        <w:rPr>
          <w:i/>
          <w:position w:val="-10"/>
        </w:rPr>
        <w:object w:dxaOrig="1560" w:dyaOrig="279">
          <v:shape id="_x0000_i1038" type="#_x0000_t75" style="width:78pt;height:14.25pt" o:ole="">
            <v:imagedata r:id="rId34" o:title=""/>
          </v:shape>
          <o:OLEObject Type="Embed" ProgID="Equation.3" ShapeID="_x0000_i1038" DrawAspect="Content" ObjectID="_1536799279" r:id="rId35"/>
        </w:object>
      </w:r>
      <w:r w:rsidRPr="008416C8">
        <w:rPr>
          <w:i/>
        </w:rPr>
        <w:t xml:space="preserve"> , the resource indication value corresponds to the starting resource block (</w:t>
      </w:r>
      <w:r w:rsidRPr="008416C8">
        <w:rPr>
          <w:i/>
          <w:position w:val="-10"/>
        </w:rPr>
        <w:object w:dxaOrig="760" w:dyaOrig="300">
          <v:shape id="_x0000_i1039" type="#_x0000_t75" style="width:38.25pt;height:15pt" o:ole="">
            <v:imagedata r:id="rId22" o:title=""/>
          </v:shape>
          <o:OLEObject Type="Embed" ProgID="Equation.3" ShapeID="_x0000_i1039" DrawAspect="Content" ObjectID="_1536799280" r:id="rId36"/>
        </w:object>
      </w:r>
      <w:r w:rsidRPr="008416C8">
        <w:rPr>
          <w:i/>
        </w:rPr>
        <w:t xml:space="preserve">) and the set of values </w:t>
      </w:r>
      <w:r w:rsidRPr="008416C8">
        <w:rPr>
          <w:i/>
          <w:position w:val="-6"/>
        </w:rPr>
        <w:object w:dxaOrig="139" w:dyaOrig="240">
          <v:shape id="_x0000_i1040" type="#_x0000_t75" style="width:6.75pt;height:12pt" o:ole="">
            <v:imagedata r:id="rId37" o:title=""/>
          </v:shape>
          <o:OLEObject Type="Embed" ProgID="Equation.3" ShapeID="_x0000_i1040" DrawAspect="Content" ObjectID="_1536799281" r:id="rId38"/>
        </w:object>
      </w:r>
      <w:r w:rsidRPr="008416C8">
        <w:rPr>
          <w:i/>
        </w:rPr>
        <w:t xml:space="preserve"> according to Table 8.1.4-1.</w:t>
      </w:r>
    </w:p>
    <w:p w:rsidR="008416C8" w:rsidRPr="008416C8" w:rsidRDefault="008416C8" w:rsidP="008416C8">
      <w:pPr>
        <w:pStyle w:val="TH"/>
        <w:rPr>
          <w:i/>
          <w:lang w:val="en-US"/>
        </w:rPr>
      </w:pPr>
      <w:r w:rsidRPr="008416C8">
        <w:rPr>
          <w:i/>
        </w:rPr>
        <w:t xml:space="preserve">Table </w:t>
      </w:r>
      <w:r w:rsidRPr="008416C8">
        <w:rPr>
          <w:i/>
          <w:lang w:val="en-US"/>
        </w:rPr>
        <w:t>8.1.4-1</w:t>
      </w:r>
      <w:r w:rsidRPr="008416C8">
        <w:rPr>
          <w:i/>
        </w:rPr>
        <w:t xml:space="preserve">: </w:t>
      </w:r>
      <w:r w:rsidRPr="008416C8">
        <w:rPr>
          <w:i/>
          <w:position w:val="-10"/>
        </w:rPr>
        <w:object w:dxaOrig="760" w:dyaOrig="300">
          <v:shape id="_x0000_i1041" type="#_x0000_t75" style="width:38.25pt;height:15pt" o:ole="">
            <v:imagedata r:id="rId22" o:title=""/>
          </v:shape>
          <o:OLEObject Type="Embed" ProgID="Equation.3" ShapeID="_x0000_i1041" DrawAspect="Content" ObjectID="_1536799282" r:id="rId39"/>
        </w:object>
      </w:r>
      <w:r w:rsidRPr="008416C8">
        <w:rPr>
          <w:i/>
        </w:rPr>
        <w:t xml:space="preserve"> and </w:t>
      </w:r>
      <w:r w:rsidRPr="008416C8">
        <w:rPr>
          <w:i/>
          <w:position w:val="-6"/>
        </w:rPr>
        <w:object w:dxaOrig="139" w:dyaOrig="240">
          <v:shape id="_x0000_i1042" type="#_x0000_t75" style="width:6.75pt;height:12pt" o:ole="">
            <v:imagedata r:id="rId37" o:title=""/>
          </v:shape>
          <o:OLEObject Type="Embed" ProgID="Equation.3" ShapeID="_x0000_i1042" DrawAspect="Content" ObjectID="_1536799283" r:id="rId40"/>
        </w:object>
      </w:r>
      <w:r w:rsidRPr="008416C8">
        <w:rPr>
          <w:i/>
        </w:rPr>
        <w:t xml:space="preserve"> for </w:t>
      </w:r>
      <w:r w:rsidRPr="008416C8">
        <w:rPr>
          <w:i/>
          <w:position w:val="-10"/>
        </w:rPr>
        <w:object w:dxaOrig="1560" w:dyaOrig="279">
          <v:shape id="_x0000_i1043" type="#_x0000_t75" style="width:78pt;height:14.25pt" o:ole="">
            <v:imagedata r:id="rId34" o:title=""/>
          </v:shape>
          <o:OLEObject Type="Embed" ProgID="Equation.3" ShapeID="_x0000_i1043" DrawAspect="Content" ObjectID="_1536799284" r:id="rId41"/>
        </w:object>
      </w:r>
      <w:r w:rsidRPr="008416C8">
        <w:rPr>
          <w:i/>
          <w:lang w:val="en-US" w:eastAsia="zh-CN"/>
        </w:rPr>
        <w:t>.</w:t>
      </w:r>
    </w:p>
    <w:tbl>
      <w:tblPr>
        <w:tblW w:w="0" w:type="auto"/>
        <w:jc w:val="center"/>
        <w:tblLook w:val="01E0" w:firstRow="1" w:lastRow="1" w:firstColumn="1" w:lastColumn="1" w:noHBand="0" w:noVBand="0"/>
      </w:tblPr>
      <w:tblGrid>
        <w:gridCol w:w="3386"/>
        <w:gridCol w:w="1112"/>
        <w:gridCol w:w="1996"/>
      </w:tblGrid>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416C8" w:rsidRPr="008416C8" w:rsidRDefault="008416C8" w:rsidP="00E04D2C">
            <w:pPr>
              <w:pStyle w:val="TAH"/>
              <w:rPr>
                <w:i/>
                <w:lang w:eastAsia="en-US"/>
              </w:rPr>
            </w:pPr>
            <w:r w:rsidRPr="008416C8">
              <w:rPr>
                <w:i/>
                <w:position w:val="-10"/>
                <w:lang w:eastAsia="en-US"/>
              </w:rPr>
              <w:object w:dxaOrig="1540" w:dyaOrig="279">
                <v:shape id="_x0000_i1044" type="#_x0000_t75" style="width:76.5pt;height:14.25pt" o:ole="">
                  <v:imagedata r:id="rId42" o:title=""/>
                </v:shape>
                <o:OLEObject Type="Embed" ProgID="Equation.3" ShapeID="_x0000_i1044" DrawAspect="Content" ObjectID="_1536799285" r:id="rId4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416C8" w:rsidRPr="008416C8" w:rsidRDefault="008416C8" w:rsidP="00E04D2C">
            <w:pPr>
              <w:pStyle w:val="TAH"/>
              <w:rPr>
                <w:i/>
                <w:lang w:eastAsia="zh-CN"/>
              </w:rPr>
            </w:pPr>
            <w:r w:rsidRPr="008416C8">
              <w:rPr>
                <w:i/>
                <w:position w:val="-10"/>
                <w:lang w:eastAsia="en-US"/>
              </w:rPr>
              <w:object w:dxaOrig="760" w:dyaOrig="300">
                <v:shape id="_x0000_i1045" type="#_x0000_t75" style="width:38.25pt;height:15pt" o:ole="">
                  <v:imagedata r:id="rId22" o:title=""/>
                </v:shape>
                <o:OLEObject Type="Embed" ProgID="Equation.3" ShapeID="_x0000_i1045" DrawAspect="Content" ObjectID="_1536799286" r:id="rId4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8416C8" w:rsidRPr="008416C8" w:rsidRDefault="008416C8" w:rsidP="00E04D2C">
            <w:pPr>
              <w:pStyle w:val="TAH"/>
              <w:rPr>
                <w:i/>
                <w:lang w:eastAsia="zh-CN"/>
              </w:rPr>
            </w:pPr>
            <w:r w:rsidRPr="008416C8">
              <w:rPr>
                <w:i/>
                <w:position w:val="-6"/>
                <w:lang w:eastAsia="en-US"/>
              </w:rPr>
              <w:object w:dxaOrig="139" w:dyaOrig="240">
                <v:shape id="_x0000_i1046" type="#_x0000_t75" style="width:6.75pt;height:12pt" o:ole="">
                  <v:imagedata r:id="rId37" o:title=""/>
                </v:shape>
                <o:OLEObject Type="Embed" ProgID="Equation.3" ShapeID="_x0000_i1046" DrawAspect="Content" ObjectID="_1536799287" r:id="rId45"/>
              </w:objec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0</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0</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1, 5, 6}</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1</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1</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1, 2, 3, 5, 6, 7, 8}</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2</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2</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1, 2, 5, 6, 7}</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3</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4</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bl>
    <w:p w:rsidR="008416C8" w:rsidRDefault="008416C8" w:rsidP="00B05E20">
      <w:pPr>
        <w:rPr>
          <w:lang w:val="en-US"/>
        </w:rPr>
      </w:pPr>
    </w:p>
    <w:p w:rsidR="00D80F8D" w:rsidRDefault="008416C8" w:rsidP="008416C8">
      <w:r>
        <w:rPr>
          <w:lang w:val="en-US"/>
        </w:rPr>
        <w:t xml:space="preserve">For these two kinds of resource allocation, we can have two tests, one test is for continuous interlace resource allocation. In test one, we can set </w:t>
      </w:r>
      <w:r w:rsidRPr="008416C8">
        <w:rPr>
          <w:i/>
          <w:position w:val="-12"/>
        </w:rPr>
        <w:object w:dxaOrig="1219" w:dyaOrig="360">
          <v:shape id="_x0000_i1047" type="#_x0000_t75" style="width:61.5pt;height:18pt" o:ole="">
            <v:imagedata r:id="rId46" o:title=""/>
          </v:shape>
          <o:OLEObject Type="Embed" ProgID="Equation.3" ShapeID="_x0000_i1047" DrawAspect="Content" ObjectID="_1536799288" r:id="rId47"/>
        </w:object>
      </w:r>
      <w:r>
        <w:t xml:space="preserve"> and </w:t>
      </w:r>
      <w:r w:rsidR="00821A25" w:rsidRPr="008416C8">
        <w:rPr>
          <w:i/>
          <w:position w:val="-4"/>
        </w:rPr>
        <w:object w:dxaOrig="540" w:dyaOrig="260">
          <v:shape id="_x0000_i1048" type="#_x0000_t75" style="width:27pt;height:12.75pt" o:ole="">
            <v:imagedata r:id="rId48" o:title=""/>
          </v:shape>
          <o:OLEObject Type="Embed" ProgID="Equation.3" ShapeID="_x0000_i1048" DrawAspect="Content" ObjectID="_1536799289" r:id="rId49"/>
        </w:object>
      </w:r>
      <w:r>
        <w:t xml:space="preserve">. In the second test case,  </w:t>
      </w:r>
      <w:r w:rsidRPr="008416C8">
        <w:t>RIV=0 can be given</w:t>
      </w:r>
      <w:r>
        <w:t xml:space="preserve">. </w:t>
      </w:r>
      <w:r w:rsidR="00D80F8D">
        <w:t xml:space="preserve"> </w:t>
      </w:r>
    </w:p>
    <w:p w:rsidR="00457441" w:rsidRDefault="003D39D2" w:rsidP="003D39D2">
      <w:pPr>
        <w:pStyle w:val="Heading4"/>
      </w:pPr>
      <w:r>
        <w:t xml:space="preserve">Scheduling </w:t>
      </w:r>
    </w:p>
    <w:p w:rsidR="00457441" w:rsidRDefault="003D39D2" w:rsidP="00B05E20">
      <w:r>
        <w:t xml:space="preserve">For the scheduling, there are two types scheduling, one is two-stage scheduling and one is one-step scheduling. For scheduling point of view, there is not too much impact on the PUSCH performance. One-step scheduling is much simple and can be used as baseline. </w:t>
      </w:r>
    </w:p>
    <w:p w:rsidR="008060C2" w:rsidRDefault="008060C2" w:rsidP="008060C2">
      <w:pPr>
        <w:pStyle w:val="Heading4"/>
      </w:pPr>
      <w:r>
        <w:t>LBT type</w:t>
      </w:r>
    </w:p>
    <w:p w:rsidR="008060C2" w:rsidRDefault="00C8309D" w:rsidP="008060C2">
      <w:r>
        <w:t>There are two types LBT are defined, one is 25 us and one is Cat 4 LBT. The LBT type doesn’t have too much impact on the final performance and one can be selected.</w:t>
      </w:r>
      <w:r w:rsidR="00204B01">
        <w:t xml:space="preserve"> However, model Cat.4 LBT is quite complex. </w:t>
      </w:r>
      <w:r>
        <w:t xml:space="preserve">25 </w:t>
      </w:r>
      <w:r w:rsidR="00821A25">
        <w:t xml:space="preserve">us </w:t>
      </w:r>
      <w:r w:rsidR="00204B01">
        <w:t>LBT is slightly preferable for the configuration</w:t>
      </w:r>
      <w:r>
        <w:t xml:space="preserve"> in the test. </w:t>
      </w:r>
    </w:p>
    <w:p w:rsidR="003578C8" w:rsidRDefault="003578C8" w:rsidP="008060C2"/>
    <w:p w:rsidR="003578C8" w:rsidRDefault="003578C8" w:rsidP="003578C8">
      <w:pPr>
        <w:pStyle w:val="Heading4"/>
      </w:pPr>
      <w:r>
        <w:t>Setup summary</w:t>
      </w:r>
    </w:p>
    <w:p w:rsidR="0021118F" w:rsidRDefault="0021118F" w:rsidP="0021118F">
      <w:r>
        <w:t xml:space="preserve">The setup is summarized in </w:t>
      </w:r>
      <w:r w:rsidR="0041404C">
        <w:fldChar w:fldCharType="begin"/>
      </w:r>
      <w:r w:rsidR="0041404C">
        <w:instrText xml:space="preserve"> REF _Ref463023977 \h </w:instrText>
      </w:r>
      <w:r w:rsidR="0041404C">
        <w:fldChar w:fldCharType="separate"/>
      </w:r>
      <w:r w:rsidR="0041404C">
        <w:t xml:space="preserve">Table </w:t>
      </w:r>
      <w:r w:rsidR="0041404C">
        <w:rPr>
          <w:noProof/>
        </w:rPr>
        <w:t>3</w:t>
      </w:r>
      <w:r w:rsidR="0041404C">
        <w:fldChar w:fldCharType="end"/>
      </w:r>
      <w:r w:rsidR="0041404C">
        <w:t xml:space="preserve">. </w:t>
      </w:r>
    </w:p>
    <w:p w:rsidR="00FA048B" w:rsidRDefault="00FA048B" w:rsidP="00FA048B">
      <w:pPr>
        <w:pStyle w:val="Caption"/>
        <w:keepNext/>
      </w:pPr>
      <w:bookmarkStart w:id="7" w:name="_Ref463023977"/>
      <w:r>
        <w:t xml:space="preserve">Table </w:t>
      </w:r>
      <w:r>
        <w:fldChar w:fldCharType="begin"/>
      </w:r>
      <w:r>
        <w:instrText xml:space="preserve"> SEQ Table \* ARABIC </w:instrText>
      </w:r>
      <w:r>
        <w:fldChar w:fldCharType="separate"/>
      </w:r>
      <w:r w:rsidR="004155E8">
        <w:rPr>
          <w:noProof/>
        </w:rPr>
        <w:t>3</w:t>
      </w:r>
      <w:r>
        <w:fldChar w:fldCharType="end"/>
      </w:r>
      <w:bookmarkEnd w:id="7"/>
      <w:r>
        <w:t>: test setup for eLAA PUSCH</w:t>
      </w:r>
    </w:p>
    <w:tbl>
      <w:tblPr>
        <w:tblStyle w:val="TableGrid"/>
        <w:tblW w:w="0" w:type="auto"/>
        <w:tblLook w:val="04A0" w:firstRow="1" w:lastRow="0" w:firstColumn="1" w:lastColumn="0" w:noHBand="0" w:noVBand="1"/>
      </w:tblPr>
      <w:tblGrid>
        <w:gridCol w:w="3285"/>
        <w:gridCol w:w="4023"/>
        <w:gridCol w:w="2547"/>
      </w:tblGrid>
      <w:tr w:rsidR="0021118F" w:rsidTr="003242E9">
        <w:tc>
          <w:tcPr>
            <w:tcW w:w="3285" w:type="dxa"/>
          </w:tcPr>
          <w:p w:rsidR="0021118F" w:rsidRDefault="0021118F" w:rsidP="00530F76">
            <w:pPr>
              <w:jc w:val="center"/>
            </w:pPr>
            <w:r>
              <w:t>Parameters</w:t>
            </w:r>
          </w:p>
        </w:tc>
        <w:tc>
          <w:tcPr>
            <w:tcW w:w="4023" w:type="dxa"/>
          </w:tcPr>
          <w:p w:rsidR="0021118F" w:rsidRDefault="0021118F" w:rsidP="00530F76">
            <w:pPr>
              <w:jc w:val="center"/>
            </w:pPr>
            <w:r>
              <w:t>Value</w:t>
            </w:r>
          </w:p>
        </w:tc>
        <w:tc>
          <w:tcPr>
            <w:tcW w:w="2547" w:type="dxa"/>
          </w:tcPr>
          <w:p w:rsidR="0021118F" w:rsidRDefault="0021118F" w:rsidP="0054076D">
            <w:pPr>
              <w:jc w:val="center"/>
            </w:pPr>
            <w:r>
              <w:t>Note</w:t>
            </w:r>
          </w:p>
        </w:tc>
      </w:tr>
      <w:tr w:rsidR="0021118F" w:rsidTr="003242E9">
        <w:tc>
          <w:tcPr>
            <w:tcW w:w="3285" w:type="dxa"/>
          </w:tcPr>
          <w:p w:rsidR="0021118F" w:rsidRDefault="0021118F" w:rsidP="00530F76">
            <w:pPr>
              <w:jc w:val="center"/>
            </w:pPr>
            <w:r w:rsidRPr="005A61D9">
              <w:t>Antenna configuration</w:t>
            </w:r>
          </w:p>
        </w:tc>
        <w:tc>
          <w:tcPr>
            <w:tcW w:w="4023" w:type="dxa"/>
          </w:tcPr>
          <w:p w:rsidR="0021118F" w:rsidRDefault="00271220" w:rsidP="00530F76">
            <w:pPr>
              <w:jc w:val="center"/>
            </w:pPr>
            <w:r>
              <w:t>1 Tx at UE and 2 Rx at eNB</w:t>
            </w:r>
          </w:p>
        </w:tc>
        <w:tc>
          <w:tcPr>
            <w:tcW w:w="2547" w:type="dxa"/>
          </w:tcPr>
          <w:p w:rsidR="0021118F" w:rsidRDefault="0021118F" w:rsidP="0021118F"/>
        </w:tc>
      </w:tr>
      <w:tr w:rsidR="0054076D" w:rsidTr="003242E9">
        <w:tc>
          <w:tcPr>
            <w:tcW w:w="3285" w:type="dxa"/>
          </w:tcPr>
          <w:p w:rsidR="0054076D" w:rsidRPr="005A61D9" w:rsidRDefault="0054076D" w:rsidP="00530F76">
            <w:pPr>
              <w:jc w:val="center"/>
            </w:pPr>
            <w:r>
              <w:t>Reference receiver</w:t>
            </w:r>
          </w:p>
        </w:tc>
        <w:tc>
          <w:tcPr>
            <w:tcW w:w="4023" w:type="dxa"/>
          </w:tcPr>
          <w:p w:rsidR="0054076D" w:rsidRDefault="0054076D" w:rsidP="00530F76">
            <w:pPr>
              <w:jc w:val="center"/>
            </w:pPr>
            <w:r>
              <w:t>MRC</w:t>
            </w:r>
          </w:p>
        </w:tc>
        <w:tc>
          <w:tcPr>
            <w:tcW w:w="2547" w:type="dxa"/>
          </w:tcPr>
          <w:p w:rsidR="0054076D" w:rsidRDefault="0054076D" w:rsidP="0021118F"/>
        </w:tc>
      </w:tr>
      <w:tr w:rsidR="0054076D" w:rsidTr="003242E9">
        <w:tc>
          <w:tcPr>
            <w:tcW w:w="3285" w:type="dxa"/>
          </w:tcPr>
          <w:p w:rsidR="0054076D" w:rsidRDefault="0054076D" w:rsidP="00530F76">
            <w:pPr>
              <w:jc w:val="center"/>
            </w:pPr>
            <w:r>
              <w:t>Channel bandwidth</w:t>
            </w:r>
          </w:p>
        </w:tc>
        <w:tc>
          <w:tcPr>
            <w:tcW w:w="4023" w:type="dxa"/>
          </w:tcPr>
          <w:p w:rsidR="0054076D" w:rsidRDefault="0054076D" w:rsidP="00530F76">
            <w:pPr>
              <w:jc w:val="center"/>
            </w:pPr>
            <w:r>
              <w:t>20MHz</w:t>
            </w:r>
          </w:p>
        </w:tc>
        <w:tc>
          <w:tcPr>
            <w:tcW w:w="2547" w:type="dxa"/>
          </w:tcPr>
          <w:p w:rsidR="0054076D" w:rsidRDefault="0054076D" w:rsidP="0021118F"/>
        </w:tc>
      </w:tr>
      <w:tr w:rsidR="0054076D" w:rsidTr="003242E9">
        <w:tc>
          <w:tcPr>
            <w:tcW w:w="3285" w:type="dxa"/>
          </w:tcPr>
          <w:p w:rsidR="0054076D" w:rsidRDefault="0054076D" w:rsidP="00530F76">
            <w:pPr>
              <w:jc w:val="center"/>
            </w:pPr>
            <w:r>
              <w:t xml:space="preserve">Component </w:t>
            </w:r>
            <w:r w:rsidR="00333C36">
              <w:t>carriers’</w:t>
            </w:r>
            <w:r>
              <w:t xml:space="preserve"> configuration</w:t>
            </w:r>
          </w:p>
        </w:tc>
        <w:tc>
          <w:tcPr>
            <w:tcW w:w="4023" w:type="dxa"/>
          </w:tcPr>
          <w:p w:rsidR="0054076D" w:rsidRDefault="0054076D" w:rsidP="00530F76">
            <w:pPr>
              <w:jc w:val="center"/>
            </w:pPr>
            <w:r>
              <w:t>2 CCs (Downlink) + 2 CCs (Uplink)</w:t>
            </w:r>
          </w:p>
        </w:tc>
        <w:tc>
          <w:tcPr>
            <w:tcW w:w="2547" w:type="dxa"/>
          </w:tcPr>
          <w:p w:rsidR="0054076D" w:rsidRDefault="0054076D" w:rsidP="0021118F"/>
        </w:tc>
      </w:tr>
      <w:tr w:rsidR="00F85578" w:rsidTr="003242E9">
        <w:tc>
          <w:tcPr>
            <w:tcW w:w="3285" w:type="dxa"/>
          </w:tcPr>
          <w:p w:rsidR="00F85578" w:rsidRDefault="00F85578" w:rsidP="00530F76">
            <w:pPr>
              <w:jc w:val="center"/>
            </w:pPr>
            <w:r>
              <w:t>Channel model</w:t>
            </w:r>
          </w:p>
        </w:tc>
        <w:tc>
          <w:tcPr>
            <w:tcW w:w="4023" w:type="dxa"/>
          </w:tcPr>
          <w:p w:rsidR="00F85578" w:rsidRDefault="00F85578" w:rsidP="00530F76">
            <w:pPr>
              <w:jc w:val="center"/>
            </w:pPr>
            <w:r>
              <w:t>EVA 5Hz</w:t>
            </w:r>
          </w:p>
        </w:tc>
        <w:tc>
          <w:tcPr>
            <w:tcW w:w="2547" w:type="dxa"/>
          </w:tcPr>
          <w:p w:rsidR="00F85578" w:rsidRDefault="00F85578" w:rsidP="0021118F"/>
        </w:tc>
      </w:tr>
      <w:tr w:rsidR="00333C36" w:rsidTr="003242E9">
        <w:tc>
          <w:tcPr>
            <w:tcW w:w="3285" w:type="dxa"/>
          </w:tcPr>
          <w:p w:rsidR="00333C36" w:rsidRDefault="00333C36" w:rsidP="00530F76">
            <w:pPr>
              <w:jc w:val="center"/>
            </w:pPr>
            <w:r>
              <w:t>Starting PUSCH symbol configuration</w:t>
            </w:r>
          </w:p>
        </w:tc>
        <w:tc>
          <w:tcPr>
            <w:tcW w:w="4023" w:type="dxa"/>
          </w:tcPr>
          <w:p w:rsidR="00333C36" w:rsidRDefault="00F10B7E" w:rsidP="00530F76">
            <w:pPr>
              <w:jc w:val="center"/>
            </w:pPr>
            <w:r>
              <w:t>‘</w:t>
            </w:r>
            <w:r w:rsidR="00333C36">
              <w:t>01</w:t>
            </w:r>
            <w:r>
              <w:t>’</w:t>
            </w:r>
          </w:p>
        </w:tc>
        <w:tc>
          <w:tcPr>
            <w:tcW w:w="2547" w:type="dxa"/>
          </w:tcPr>
          <w:p w:rsidR="00333C36" w:rsidRDefault="0045324A" w:rsidP="0021118F">
            <w:r>
              <w:rPr>
                <w:rFonts w:hint="eastAsia"/>
              </w:rPr>
              <w:t>25</w:t>
            </w:r>
            <w:r>
              <w:t>µ</w:t>
            </w:r>
            <w:r>
              <w:rPr>
                <w:rFonts w:hint="eastAsia"/>
              </w:rPr>
              <w:t>s in symbol 0</w:t>
            </w:r>
          </w:p>
        </w:tc>
      </w:tr>
      <w:tr w:rsidR="0045324A" w:rsidTr="003242E9">
        <w:tc>
          <w:tcPr>
            <w:tcW w:w="3285" w:type="dxa"/>
          </w:tcPr>
          <w:p w:rsidR="0045324A" w:rsidRDefault="0045324A" w:rsidP="00530F76">
            <w:pPr>
              <w:jc w:val="center"/>
            </w:pPr>
            <w:r>
              <w:t>Ending symbol configuration</w:t>
            </w:r>
          </w:p>
        </w:tc>
        <w:tc>
          <w:tcPr>
            <w:tcW w:w="4023" w:type="dxa"/>
          </w:tcPr>
          <w:p w:rsidR="0045324A" w:rsidRDefault="0045324A" w:rsidP="00530F76">
            <w:pPr>
              <w:jc w:val="center"/>
            </w:pPr>
            <w:r>
              <w:t>‘1’</w:t>
            </w:r>
          </w:p>
        </w:tc>
        <w:tc>
          <w:tcPr>
            <w:tcW w:w="2547" w:type="dxa"/>
          </w:tcPr>
          <w:p w:rsidR="0045324A" w:rsidRDefault="0045324A" w:rsidP="0021118F">
            <w:r>
              <w:t>Up to OFDM symbol 13</w:t>
            </w:r>
          </w:p>
        </w:tc>
      </w:tr>
      <w:tr w:rsidR="0045324A" w:rsidTr="003242E9">
        <w:tc>
          <w:tcPr>
            <w:tcW w:w="3285" w:type="dxa"/>
          </w:tcPr>
          <w:p w:rsidR="0045324A" w:rsidRDefault="003242E9" w:rsidP="00530F76">
            <w:pPr>
              <w:jc w:val="center"/>
            </w:pPr>
            <w:r w:rsidRPr="003242E9">
              <w:t>Resource allocation</w:t>
            </w:r>
          </w:p>
        </w:tc>
        <w:tc>
          <w:tcPr>
            <w:tcW w:w="4023" w:type="dxa"/>
          </w:tcPr>
          <w:p w:rsidR="0045324A" w:rsidRDefault="001971C0" w:rsidP="00530F76">
            <w:pPr>
              <w:jc w:val="center"/>
            </w:pPr>
            <w:r>
              <w:t>Both continuous interlace and non-continuous interlace allocation is tested</w:t>
            </w:r>
          </w:p>
        </w:tc>
        <w:tc>
          <w:tcPr>
            <w:tcW w:w="2547" w:type="dxa"/>
          </w:tcPr>
          <w:p w:rsidR="0045324A" w:rsidRDefault="0045324A" w:rsidP="0021118F"/>
        </w:tc>
      </w:tr>
      <w:tr w:rsidR="000B4F72" w:rsidTr="003242E9">
        <w:tc>
          <w:tcPr>
            <w:tcW w:w="3285" w:type="dxa"/>
          </w:tcPr>
          <w:p w:rsidR="000B4F72" w:rsidRPr="003242E9" w:rsidRDefault="000B4F72" w:rsidP="00530F76">
            <w:pPr>
              <w:jc w:val="center"/>
            </w:pPr>
            <w:r>
              <w:t>Scheduling</w:t>
            </w:r>
          </w:p>
        </w:tc>
        <w:tc>
          <w:tcPr>
            <w:tcW w:w="4023" w:type="dxa"/>
          </w:tcPr>
          <w:p w:rsidR="000B4F72" w:rsidRDefault="000B4F72" w:rsidP="00530F76">
            <w:pPr>
              <w:jc w:val="center"/>
            </w:pPr>
            <w:r>
              <w:t>one-step scheduling</w:t>
            </w:r>
          </w:p>
        </w:tc>
        <w:tc>
          <w:tcPr>
            <w:tcW w:w="2547" w:type="dxa"/>
          </w:tcPr>
          <w:p w:rsidR="000B4F72" w:rsidRDefault="000B4F72" w:rsidP="0021118F"/>
        </w:tc>
      </w:tr>
      <w:tr w:rsidR="000B4F72" w:rsidTr="003242E9">
        <w:tc>
          <w:tcPr>
            <w:tcW w:w="3285" w:type="dxa"/>
          </w:tcPr>
          <w:p w:rsidR="000B4F72" w:rsidRDefault="000B4F72" w:rsidP="00530F76">
            <w:pPr>
              <w:jc w:val="center"/>
            </w:pPr>
            <w:r>
              <w:t>LBT type</w:t>
            </w:r>
          </w:p>
        </w:tc>
        <w:tc>
          <w:tcPr>
            <w:tcW w:w="4023" w:type="dxa"/>
          </w:tcPr>
          <w:p w:rsidR="000B4F72" w:rsidRDefault="000B4F72" w:rsidP="00530F76">
            <w:pPr>
              <w:jc w:val="center"/>
            </w:pPr>
            <w:r>
              <w:t>25 us</w:t>
            </w:r>
          </w:p>
        </w:tc>
        <w:tc>
          <w:tcPr>
            <w:tcW w:w="2547" w:type="dxa"/>
          </w:tcPr>
          <w:p w:rsidR="000B4F72" w:rsidRDefault="000B4F72" w:rsidP="0021118F"/>
        </w:tc>
      </w:tr>
    </w:tbl>
    <w:p w:rsidR="0021118F" w:rsidRDefault="0021118F" w:rsidP="0021118F"/>
    <w:p w:rsidR="00122200" w:rsidRPr="00086612" w:rsidRDefault="00122200" w:rsidP="0021118F">
      <w:pPr>
        <w:rPr>
          <w:b/>
        </w:rPr>
      </w:pPr>
      <w:r w:rsidRPr="00086612">
        <w:rPr>
          <w:b/>
        </w:rPr>
        <w:t>Proposal</w:t>
      </w:r>
      <w:r w:rsidR="00887D8F">
        <w:rPr>
          <w:b/>
        </w:rPr>
        <w:t xml:space="preserve"> 3</w:t>
      </w:r>
      <w:r w:rsidRPr="00086612">
        <w:rPr>
          <w:b/>
        </w:rPr>
        <w:t xml:space="preserve">: </w:t>
      </w:r>
      <w:r w:rsidRPr="00051762">
        <w:rPr>
          <w:i/>
        </w:rPr>
        <w:t xml:space="preserve">Taking </w:t>
      </w:r>
      <w:r w:rsidR="002B4989">
        <w:rPr>
          <w:i/>
        </w:rPr>
        <w:fldChar w:fldCharType="begin"/>
      </w:r>
      <w:r w:rsidR="002B4989">
        <w:rPr>
          <w:i/>
        </w:rPr>
        <w:instrText xml:space="preserve"> REF _Ref463023977 \h </w:instrText>
      </w:r>
      <w:r w:rsidR="002B4989">
        <w:rPr>
          <w:i/>
        </w:rPr>
      </w:r>
      <w:r w:rsidR="002B4989">
        <w:rPr>
          <w:i/>
        </w:rPr>
        <w:fldChar w:fldCharType="separate"/>
      </w:r>
      <w:r w:rsidR="002B4989">
        <w:t xml:space="preserve">Table </w:t>
      </w:r>
      <w:r w:rsidR="002B4989">
        <w:rPr>
          <w:noProof/>
        </w:rPr>
        <w:t>3</w:t>
      </w:r>
      <w:r w:rsidR="002B4989">
        <w:rPr>
          <w:i/>
        </w:rPr>
        <w:fldChar w:fldCharType="end"/>
      </w:r>
      <w:r w:rsidR="002B4989">
        <w:rPr>
          <w:i/>
        </w:rPr>
        <w:t xml:space="preserve"> </w:t>
      </w:r>
      <w:r w:rsidRPr="00051762">
        <w:rPr>
          <w:i/>
        </w:rPr>
        <w:t>as reference setup for eLAA PUSCH test</w:t>
      </w:r>
      <w:r w:rsidR="00F90918">
        <w:rPr>
          <w:b/>
        </w:rPr>
        <w:t>.</w:t>
      </w:r>
    </w:p>
    <w:p w:rsidR="004D7ED3" w:rsidRDefault="004D7ED3" w:rsidP="004D7ED3">
      <w:pPr>
        <w:pStyle w:val="Heading1"/>
        <w:rPr>
          <w:lang w:val="en-US"/>
        </w:rPr>
      </w:pPr>
      <w:r>
        <w:rPr>
          <w:rFonts w:hint="eastAsia"/>
          <w:lang w:val="en-US"/>
        </w:rPr>
        <w:t>Conclusion</w:t>
      </w:r>
    </w:p>
    <w:p w:rsidR="007B4033" w:rsidRDefault="00F90918" w:rsidP="004D7ED3">
      <w:pPr>
        <w:rPr>
          <w:lang w:val="en-US"/>
        </w:rPr>
      </w:pPr>
      <w:r>
        <w:rPr>
          <w:lang w:val="en-US"/>
        </w:rPr>
        <w:t xml:space="preserve">In this contributions, we share our view on Rel-14 eLAA </w:t>
      </w:r>
      <w:r w:rsidR="002C4EA4">
        <w:rPr>
          <w:lang w:val="en-US"/>
        </w:rPr>
        <w:t xml:space="preserve">downlink and uplink </w:t>
      </w:r>
      <w:r>
        <w:rPr>
          <w:lang w:val="en-US"/>
        </w:rPr>
        <w:t>demodulation</w:t>
      </w:r>
      <w:r w:rsidR="002C4EA4">
        <w:rPr>
          <w:lang w:val="en-US"/>
        </w:rPr>
        <w:t xml:space="preserve"> requirements</w:t>
      </w:r>
      <w:r>
        <w:rPr>
          <w:lang w:val="en-US"/>
        </w:rPr>
        <w:t xml:space="preserve">. </w:t>
      </w:r>
      <w:r w:rsidR="00831D86">
        <w:rPr>
          <w:lang w:val="en-US"/>
        </w:rPr>
        <w:t>We have the following proposals:</w:t>
      </w:r>
    </w:p>
    <w:p w:rsidR="009D4350" w:rsidRPr="00340613" w:rsidRDefault="009D4350" w:rsidP="009D4350">
      <w:pPr>
        <w:rPr>
          <w:i/>
          <w:lang w:val="en-US"/>
        </w:rPr>
      </w:pPr>
      <w:r w:rsidRPr="00340613">
        <w:rPr>
          <w:b/>
          <w:i/>
          <w:lang w:val="en-US"/>
        </w:rPr>
        <w:t>Proposal</w:t>
      </w:r>
      <w:r>
        <w:rPr>
          <w:b/>
          <w:i/>
          <w:lang w:val="en-US"/>
        </w:rPr>
        <w:t xml:space="preserve"> 1</w:t>
      </w:r>
      <w:r w:rsidRPr="00340613">
        <w:rPr>
          <w:i/>
          <w:lang w:val="en-US"/>
        </w:rPr>
        <w:t xml:space="preserve">: </w:t>
      </w:r>
      <w:r w:rsidR="007C289A" w:rsidRPr="00340613">
        <w:rPr>
          <w:i/>
          <w:lang w:val="en-US"/>
        </w:rPr>
        <w:t xml:space="preserve">RAN4 should </w:t>
      </w:r>
      <w:r w:rsidR="007C289A">
        <w:rPr>
          <w:i/>
          <w:lang w:val="en-US"/>
        </w:rPr>
        <w:t xml:space="preserve">discuss on how </w:t>
      </w:r>
      <w:r w:rsidR="007C289A" w:rsidRPr="00340613">
        <w:rPr>
          <w:i/>
          <w:lang w:val="en-US"/>
        </w:rPr>
        <w:t>to verify</w:t>
      </w:r>
      <w:r w:rsidR="007C289A">
        <w:rPr>
          <w:i/>
          <w:lang w:val="en-US"/>
        </w:rPr>
        <w:t xml:space="preserve"> new </w:t>
      </w:r>
      <w:r w:rsidR="007C289A" w:rsidRPr="00340613">
        <w:rPr>
          <w:i/>
          <w:lang w:val="en-US"/>
        </w:rPr>
        <w:t>UE</w:t>
      </w:r>
      <w:r w:rsidR="007C289A">
        <w:rPr>
          <w:i/>
          <w:lang w:val="en-US"/>
        </w:rPr>
        <w:t xml:space="preserve"> behavior with multiple uplink grants, multiple subframes scheduling and new C-PDCCH with uplink configuration</w:t>
      </w:r>
      <w:r w:rsidR="007C289A" w:rsidRPr="00340613">
        <w:rPr>
          <w:i/>
          <w:lang w:val="en-US"/>
        </w:rPr>
        <w:t>.</w:t>
      </w:r>
    </w:p>
    <w:p w:rsidR="00781E9A" w:rsidRDefault="00781E9A" w:rsidP="00781E9A">
      <w:pPr>
        <w:rPr>
          <w:lang w:val="en-US"/>
        </w:rPr>
      </w:pPr>
      <w:r w:rsidRPr="00340613">
        <w:rPr>
          <w:b/>
          <w:i/>
          <w:lang w:val="en-US"/>
        </w:rPr>
        <w:t>Proposal</w:t>
      </w:r>
      <w:r>
        <w:rPr>
          <w:b/>
          <w:i/>
          <w:lang w:val="en-US"/>
        </w:rPr>
        <w:t xml:space="preserve"> 2</w:t>
      </w:r>
      <w:r w:rsidRPr="00340613">
        <w:rPr>
          <w:i/>
          <w:lang w:val="en-US"/>
        </w:rPr>
        <w:t>:</w:t>
      </w:r>
      <w:r>
        <w:rPr>
          <w:i/>
          <w:lang w:val="en-US"/>
        </w:rPr>
        <w:t xml:space="preserve"> For eNB, the performance requirements are defined only for PUSCH in eLAA</w:t>
      </w:r>
      <w:r w:rsidRPr="00340613">
        <w:rPr>
          <w:i/>
          <w:lang w:val="en-US"/>
        </w:rPr>
        <w:t xml:space="preserve">. </w:t>
      </w:r>
    </w:p>
    <w:p w:rsidR="00831D86" w:rsidRPr="00086612" w:rsidRDefault="00831D86" w:rsidP="00831D86">
      <w:pPr>
        <w:rPr>
          <w:b/>
        </w:rPr>
      </w:pPr>
      <w:r w:rsidRPr="00831D86">
        <w:rPr>
          <w:b/>
          <w:i/>
          <w:lang w:val="en-US"/>
        </w:rPr>
        <w:t>Proposal</w:t>
      </w:r>
      <w:r>
        <w:rPr>
          <w:b/>
          <w:i/>
          <w:lang w:val="en-US"/>
        </w:rPr>
        <w:t xml:space="preserve"> </w:t>
      </w:r>
      <w:r w:rsidR="00781E9A">
        <w:rPr>
          <w:b/>
          <w:i/>
          <w:lang w:val="en-US"/>
        </w:rPr>
        <w:t>3</w:t>
      </w:r>
      <w:r w:rsidRPr="00831D86">
        <w:rPr>
          <w:b/>
          <w:i/>
          <w:lang w:val="en-US"/>
        </w:rPr>
        <w:t>:</w:t>
      </w:r>
      <w:r>
        <w:rPr>
          <w:b/>
          <w:i/>
          <w:lang w:val="en-US"/>
        </w:rPr>
        <w:t xml:space="preserve"> </w:t>
      </w:r>
      <w:r w:rsidRPr="00831D86">
        <w:rPr>
          <w:i/>
        </w:rPr>
        <w:t>Taking</w:t>
      </w:r>
      <w:r w:rsidRPr="000E5309">
        <w:t xml:space="preserve"> </w:t>
      </w:r>
      <w:r w:rsidR="00337135" w:rsidRPr="000E5309">
        <w:rPr>
          <w:i/>
        </w:rPr>
        <w:fldChar w:fldCharType="begin"/>
      </w:r>
      <w:r w:rsidR="00337135" w:rsidRPr="000E5309">
        <w:rPr>
          <w:i/>
        </w:rPr>
        <w:instrText xml:space="preserve"> REF _Ref463023977 \h </w:instrText>
      </w:r>
      <w:r w:rsidR="000E5309" w:rsidRPr="000E5309">
        <w:rPr>
          <w:i/>
        </w:rPr>
        <w:instrText xml:space="preserve"> \* MERGEFORMAT </w:instrText>
      </w:r>
      <w:r w:rsidR="00337135" w:rsidRPr="000E5309">
        <w:rPr>
          <w:i/>
        </w:rPr>
      </w:r>
      <w:r w:rsidR="00337135" w:rsidRPr="000E5309">
        <w:rPr>
          <w:i/>
        </w:rPr>
        <w:fldChar w:fldCharType="separate"/>
      </w:r>
      <w:r w:rsidR="00337135" w:rsidRPr="000E5309">
        <w:rPr>
          <w:i/>
        </w:rPr>
        <w:t xml:space="preserve">Table </w:t>
      </w:r>
      <w:r w:rsidR="00337135" w:rsidRPr="000E5309">
        <w:rPr>
          <w:i/>
          <w:noProof/>
        </w:rPr>
        <w:t>3</w:t>
      </w:r>
      <w:r w:rsidR="00337135" w:rsidRPr="000E5309">
        <w:rPr>
          <w:i/>
        </w:rPr>
        <w:fldChar w:fldCharType="end"/>
      </w:r>
      <w:r w:rsidRPr="00831D86">
        <w:rPr>
          <w:i/>
        </w:rPr>
        <w:t xml:space="preserve"> as reference setup for eLAA PUSCH test.</w:t>
      </w:r>
    </w:p>
    <w:p w:rsidR="00831D86" w:rsidRPr="00831D86" w:rsidRDefault="00831D86" w:rsidP="004D7ED3">
      <w:pPr>
        <w:rPr>
          <w:b/>
        </w:rPr>
      </w:pPr>
    </w:p>
    <w:sectPr w:rsidR="00831D86" w:rsidRPr="00831D86">
      <w:headerReference w:type="even" r:id="rId50"/>
      <w:footerReference w:type="defaul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3F1" w:rsidRDefault="00BB43F1">
      <w:r>
        <w:separator/>
      </w:r>
    </w:p>
  </w:endnote>
  <w:endnote w:type="continuationSeparator" w:id="0">
    <w:p w:rsidR="00BB43F1" w:rsidRDefault="00BB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1D1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D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3F1" w:rsidRDefault="00BB43F1">
      <w:r>
        <w:separator/>
      </w:r>
    </w:p>
  </w:footnote>
  <w:footnote w:type="continuationSeparator" w:id="0">
    <w:p w:rsidR="00BB43F1" w:rsidRDefault="00BB4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30280D"/>
    <w:multiLevelType w:val="hybridMultilevel"/>
    <w:tmpl w:val="4778490E"/>
    <w:lvl w:ilvl="0" w:tplc="8D94DEF8">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F4B651E"/>
    <w:multiLevelType w:val="hybridMultilevel"/>
    <w:tmpl w:val="E9D67E42"/>
    <w:lvl w:ilvl="0" w:tplc="230CFEF2">
      <w:start w:val="1"/>
      <w:numFmt w:val="bullet"/>
      <w:lvlText w:val="•"/>
      <w:lvlJc w:val="left"/>
      <w:pPr>
        <w:tabs>
          <w:tab w:val="num" w:pos="720"/>
        </w:tabs>
        <w:ind w:left="720" w:hanging="360"/>
      </w:pPr>
      <w:rPr>
        <w:rFonts w:ascii="Arial" w:hAnsi="Arial" w:hint="default"/>
      </w:rPr>
    </w:lvl>
    <w:lvl w:ilvl="1" w:tplc="11F08B96" w:tentative="1">
      <w:start w:val="1"/>
      <w:numFmt w:val="bullet"/>
      <w:lvlText w:val="•"/>
      <w:lvlJc w:val="left"/>
      <w:pPr>
        <w:tabs>
          <w:tab w:val="num" w:pos="1440"/>
        </w:tabs>
        <w:ind w:left="1440" w:hanging="360"/>
      </w:pPr>
      <w:rPr>
        <w:rFonts w:ascii="Arial" w:hAnsi="Arial" w:hint="default"/>
      </w:rPr>
    </w:lvl>
    <w:lvl w:ilvl="2" w:tplc="669E324A" w:tentative="1">
      <w:start w:val="1"/>
      <w:numFmt w:val="bullet"/>
      <w:lvlText w:val="•"/>
      <w:lvlJc w:val="left"/>
      <w:pPr>
        <w:tabs>
          <w:tab w:val="num" w:pos="2160"/>
        </w:tabs>
        <w:ind w:left="2160" w:hanging="360"/>
      </w:pPr>
      <w:rPr>
        <w:rFonts w:ascii="Arial" w:hAnsi="Arial" w:hint="default"/>
      </w:rPr>
    </w:lvl>
    <w:lvl w:ilvl="3" w:tplc="CB02A50E" w:tentative="1">
      <w:start w:val="1"/>
      <w:numFmt w:val="bullet"/>
      <w:lvlText w:val="•"/>
      <w:lvlJc w:val="left"/>
      <w:pPr>
        <w:tabs>
          <w:tab w:val="num" w:pos="2880"/>
        </w:tabs>
        <w:ind w:left="2880" w:hanging="360"/>
      </w:pPr>
      <w:rPr>
        <w:rFonts w:ascii="Arial" w:hAnsi="Arial" w:hint="default"/>
      </w:rPr>
    </w:lvl>
    <w:lvl w:ilvl="4" w:tplc="9A68F4DE" w:tentative="1">
      <w:start w:val="1"/>
      <w:numFmt w:val="bullet"/>
      <w:lvlText w:val="•"/>
      <w:lvlJc w:val="left"/>
      <w:pPr>
        <w:tabs>
          <w:tab w:val="num" w:pos="3600"/>
        </w:tabs>
        <w:ind w:left="3600" w:hanging="360"/>
      </w:pPr>
      <w:rPr>
        <w:rFonts w:ascii="Arial" w:hAnsi="Arial" w:hint="default"/>
      </w:rPr>
    </w:lvl>
    <w:lvl w:ilvl="5" w:tplc="7B584CAC" w:tentative="1">
      <w:start w:val="1"/>
      <w:numFmt w:val="bullet"/>
      <w:lvlText w:val="•"/>
      <w:lvlJc w:val="left"/>
      <w:pPr>
        <w:tabs>
          <w:tab w:val="num" w:pos="4320"/>
        </w:tabs>
        <w:ind w:left="4320" w:hanging="360"/>
      </w:pPr>
      <w:rPr>
        <w:rFonts w:ascii="Arial" w:hAnsi="Arial" w:hint="default"/>
      </w:rPr>
    </w:lvl>
    <w:lvl w:ilvl="6" w:tplc="F7C0086E" w:tentative="1">
      <w:start w:val="1"/>
      <w:numFmt w:val="bullet"/>
      <w:lvlText w:val="•"/>
      <w:lvlJc w:val="left"/>
      <w:pPr>
        <w:tabs>
          <w:tab w:val="num" w:pos="5040"/>
        </w:tabs>
        <w:ind w:left="5040" w:hanging="360"/>
      </w:pPr>
      <w:rPr>
        <w:rFonts w:ascii="Arial" w:hAnsi="Arial" w:hint="default"/>
      </w:rPr>
    </w:lvl>
    <w:lvl w:ilvl="7" w:tplc="C48A69E4" w:tentative="1">
      <w:start w:val="1"/>
      <w:numFmt w:val="bullet"/>
      <w:lvlText w:val="•"/>
      <w:lvlJc w:val="left"/>
      <w:pPr>
        <w:tabs>
          <w:tab w:val="num" w:pos="5760"/>
        </w:tabs>
        <w:ind w:left="5760" w:hanging="360"/>
      </w:pPr>
      <w:rPr>
        <w:rFonts w:ascii="Arial" w:hAnsi="Arial" w:hint="default"/>
      </w:rPr>
    </w:lvl>
    <w:lvl w:ilvl="8" w:tplc="E8D60F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3"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9"/>
  </w:num>
  <w:num w:numId="4">
    <w:abstractNumId w:val="24"/>
  </w:num>
  <w:num w:numId="5">
    <w:abstractNumId w:val="6"/>
  </w:num>
  <w:num w:numId="6">
    <w:abstractNumId w:val="14"/>
  </w:num>
  <w:num w:numId="7">
    <w:abstractNumId w:val="21"/>
  </w:num>
  <w:num w:numId="8">
    <w:abstractNumId w:val="16"/>
  </w:num>
  <w:num w:numId="9">
    <w:abstractNumId w:val="11"/>
  </w:num>
  <w:num w:numId="10">
    <w:abstractNumId w:val="22"/>
  </w:num>
  <w:num w:numId="11">
    <w:abstractNumId w:val="20"/>
  </w:num>
  <w:num w:numId="12">
    <w:abstractNumId w:val="7"/>
  </w:num>
  <w:num w:numId="13">
    <w:abstractNumId w:val="5"/>
  </w:num>
  <w:num w:numId="14">
    <w:abstractNumId w:val="8"/>
  </w:num>
  <w:num w:numId="15">
    <w:abstractNumId w:val="23"/>
  </w:num>
  <w:num w:numId="16">
    <w:abstractNumId w:val="10"/>
  </w:num>
  <w:num w:numId="17">
    <w:abstractNumId w:val="4"/>
  </w:num>
  <w:num w:numId="18">
    <w:abstractNumId w:val="0"/>
  </w:num>
  <w:num w:numId="19">
    <w:abstractNumId w:val="0"/>
  </w:num>
  <w:num w:numId="20">
    <w:abstractNumId w:val="3"/>
  </w:num>
  <w:num w:numId="21">
    <w:abstractNumId w:val="0"/>
  </w:num>
  <w:num w:numId="22">
    <w:abstractNumId w:val="25"/>
  </w:num>
  <w:num w:numId="23">
    <w:abstractNumId w:val="0"/>
  </w:num>
  <w:num w:numId="24">
    <w:abstractNumId w:val="26"/>
  </w:num>
  <w:num w:numId="25">
    <w:abstractNumId w:val="0"/>
  </w:num>
  <w:num w:numId="26">
    <w:abstractNumId w:val="13"/>
  </w:num>
  <w:num w:numId="27">
    <w:abstractNumId w:val="0"/>
  </w:num>
  <w:num w:numId="28">
    <w:abstractNumId w:val="18"/>
  </w:num>
  <w:num w:numId="29">
    <w:abstractNumId w:val="0"/>
  </w:num>
  <w:num w:numId="30">
    <w:abstractNumId w:val="17"/>
  </w:num>
  <w:num w:numId="31">
    <w:abstractNumId w:val="15"/>
  </w:num>
  <w:num w:numId="32">
    <w:abstractNumId w:val="0"/>
  </w:num>
  <w:num w:numId="33">
    <w:abstractNumId w:val="12"/>
  </w:num>
  <w:num w:numId="34">
    <w:abstractNumId w:val="0"/>
  </w:num>
  <w:num w:numId="35">
    <w:abstractNumId w:val="0"/>
  </w:num>
  <w:num w:numId="36">
    <w:abstractNumId w:val="1"/>
  </w:num>
  <w:num w:numId="37">
    <w:abstractNumId w:val="0"/>
  </w:num>
  <w:num w:numId="38">
    <w:abstractNumId w:val="0"/>
  </w:num>
  <w:num w:numId="39">
    <w:abstractNumId w:val="0"/>
  </w:num>
  <w:num w:numId="40">
    <w:abstractNumId w:val="2"/>
  </w:num>
  <w:num w:numId="41">
    <w:abstractNumId w:val="0"/>
  </w:num>
  <w:num w:numId="42">
    <w:abstractNumId w:val="0"/>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486D"/>
    <w:rsid w:val="00013840"/>
    <w:rsid w:val="00015A19"/>
    <w:rsid w:val="000173A2"/>
    <w:rsid w:val="00026EDA"/>
    <w:rsid w:val="000275B7"/>
    <w:rsid w:val="00031496"/>
    <w:rsid w:val="0003279D"/>
    <w:rsid w:val="00035A95"/>
    <w:rsid w:val="000362DE"/>
    <w:rsid w:val="00040A52"/>
    <w:rsid w:val="00043AFB"/>
    <w:rsid w:val="00051762"/>
    <w:rsid w:val="0005240C"/>
    <w:rsid w:val="0005242B"/>
    <w:rsid w:val="00064F2A"/>
    <w:rsid w:val="00072848"/>
    <w:rsid w:val="00075BE0"/>
    <w:rsid w:val="00080027"/>
    <w:rsid w:val="00081B67"/>
    <w:rsid w:val="00084CAF"/>
    <w:rsid w:val="00084CEC"/>
    <w:rsid w:val="00086612"/>
    <w:rsid w:val="00086F37"/>
    <w:rsid w:val="0008783D"/>
    <w:rsid w:val="00094048"/>
    <w:rsid w:val="000948D4"/>
    <w:rsid w:val="000A0C1A"/>
    <w:rsid w:val="000A4439"/>
    <w:rsid w:val="000A752C"/>
    <w:rsid w:val="000B26D2"/>
    <w:rsid w:val="000B4583"/>
    <w:rsid w:val="000B4F72"/>
    <w:rsid w:val="000B6F93"/>
    <w:rsid w:val="000C7A12"/>
    <w:rsid w:val="000D390B"/>
    <w:rsid w:val="000D63CC"/>
    <w:rsid w:val="000E5309"/>
    <w:rsid w:val="000F144F"/>
    <w:rsid w:val="000F60B2"/>
    <w:rsid w:val="000F642E"/>
    <w:rsid w:val="00100E91"/>
    <w:rsid w:val="00110B3D"/>
    <w:rsid w:val="001121D2"/>
    <w:rsid w:val="00112584"/>
    <w:rsid w:val="00122200"/>
    <w:rsid w:val="001260F6"/>
    <w:rsid w:val="00127701"/>
    <w:rsid w:val="00131F98"/>
    <w:rsid w:val="00132565"/>
    <w:rsid w:val="0013481C"/>
    <w:rsid w:val="00135F79"/>
    <w:rsid w:val="00137026"/>
    <w:rsid w:val="00143677"/>
    <w:rsid w:val="00144356"/>
    <w:rsid w:val="0015375A"/>
    <w:rsid w:val="00153BA9"/>
    <w:rsid w:val="00160FC2"/>
    <w:rsid w:val="00164BEE"/>
    <w:rsid w:val="00166D37"/>
    <w:rsid w:val="0017350C"/>
    <w:rsid w:val="001805E5"/>
    <w:rsid w:val="001807D0"/>
    <w:rsid w:val="00182390"/>
    <w:rsid w:val="001849C3"/>
    <w:rsid w:val="00187D58"/>
    <w:rsid w:val="0019129C"/>
    <w:rsid w:val="00191EAF"/>
    <w:rsid w:val="001971C0"/>
    <w:rsid w:val="00197EC1"/>
    <w:rsid w:val="001A01BF"/>
    <w:rsid w:val="001A1E2F"/>
    <w:rsid w:val="001B0042"/>
    <w:rsid w:val="001B6327"/>
    <w:rsid w:val="001B6B90"/>
    <w:rsid w:val="001C0D21"/>
    <w:rsid w:val="001D6428"/>
    <w:rsid w:val="001E0683"/>
    <w:rsid w:val="001E2BCB"/>
    <w:rsid w:val="001E34AE"/>
    <w:rsid w:val="001E3EBE"/>
    <w:rsid w:val="001F0CB7"/>
    <w:rsid w:val="001F2699"/>
    <w:rsid w:val="001F4E64"/>
    <w:rsid w:val="001F5E00"/>
    <w:rsid w:val="001F7FF8"/>
    <w:rsid w:val="002046E6"/>
    <w:rsid w:val="00204B01"/>
    <w:rsid w:val="0021118F"/>
    <w:rsid w:val="00216465"/>
    <w:rsid w:val="00216D83"/>
    <w:rsid w:val="00221532"/>
    <w:rsid w:val="0023122F"/>
    <w:rsid w:val="002350AA"/>
    <w:rsid w:val="002367CC"/>
    <w:rsid w:val="00237E20"/>
    <w:rsid w:val="002450FA"/>
    <w:rsid w:val="002508E6"/>
    <w:rsid w:val="00250901"/>
    <w:rsid w:val="00255BC0"/>
    <w:rsid w:val="00257EDD"/>
    <w:rsid w:val="00261554"/>
    <w:rsid w:val="00263D43"/>
    <w:rsid w:val="002674EA"/>
    <w:rsid w:val="00270647"/>
    <w:rsid w:val="00271220"/>
    <w:rsid w:val="00272573"/>
    <w:rsid w:val="00275AEA"/>
    <w:rsid w:val="00280263"/>
    <w:rsid w:val="00290F74"/>
    <w:rsid w:val="002910A4"/>
    <w:rsid w:val="002977EA"/>
    <w:rsid w:val="002A267B"/>
    <w:rsid w:val="002B4989"/>
    <w:rsid w:val="002B5041"/>
    <w:rsid w:val="002C4EA4"/>
    <w:rsid w:val="002D5960"/>
    <w:rsid w:val="002D7552"/>
    <w:rsid w:val="002D797D"/>
    <w:rsid w:val="002E14DE"/>
    <w:rsid w:val="002E31FA"/>
    <w:rsid w:val="002E6775"/>
    <w:rsid w:val="002E6EF4"/>
    <w:rsid w:val="002F6970"/>
    <w:rsid w:val="00300390"/>
    <w:rsid w:val="00303D52"/>
    <w:rsid w:val="003216DA"/>
    <w:rsid w:val="003242E9"/>
    <w:rsid w:val="00324676"/>
    <w:rsid w:val="0033227D"/>
    <w:rsid w:val="00333C36"/>
    <w:rsid w:val="00333ED9"/>
    <w:rsid w:val="00337135"/>
    <w:rsid w:val="00340613"/>
    <w:rsid w:val="00342F05"/>
    <w:rsid w:val="0034611F"/>
    <w:rsid w:val="00355CE4"/>
    <w:rsid w:val="003560F7"/>
    <w:rsid w:val="003578C8"/>
    <w:rsid w:val="00371150"/>
    <w:rsid w:val="00371687"/>
    <w:rsid w:val="00373313"/>
    <w:rsid w:val="00373ACB"/>
    <w:rsid w:val="00384E2D"/>
    <w:rsid w:val="0039330D"/>
    <w:rsid w:val="00394EF9"/>
    <w:rsid w:val="0039592D"/>
    <w:rsid w:val="003A0E9F"/>
    <w:rsid w:val="003A16D3"/>
    <w:rsid w:val="003A234B"/>
    <w:rsid w:val="003A4340"/>
    <w:rsid w:val="003A43C4"/>
    <w:rsid w:val="003A5799"/>
    <w:rsid w:val="003B29AA"/>
    <w:rsid w:val="003C2448"/>
    <w:rsid w:val="003C3F6C"/>
    <w:rsid w:val="003C695C"/>
    <w:rsid w:val="003D0127"/>
    <w:rsid w:val="003D0DEB"/>
    <w:rsid w:val="003D2F26"/>
    <w:rsid w:val="003D39D2"/>
    <w:rsid w:val="003E0289"/>
    <w:rsid w:val="003E319E"/>
    <w:rsid w:val="003F3629"/>
    <w:rsid w:val="0041404C"/>
    <w:rsid w:val="0041465A"/>
    <w:rsid w:val="004155E8"/>
    <w:rsid w:val="00416EC3"/>
    <w:rsid w:val="00417F6B"/>
    <w:rsid w:val="00433365"/>
    <w:rsid w:val="00433FF0"/>
    <w:rsid w:val="00442F9C"/>
    <w:rsid w:val="004504A3"/>
    <w:rsid w:val="00450BA5"/>
    <w:rsid w:val="0045324A"/>
    <w:rsid w:val="00457441"/>
    <w:rsid w:val="00463C49"/>
    <w:rsid w:val="004719A7"/>
    <w:rsid w:val="00471A95"/>
    <w:rsid w:val="0048397A"/>
    <w:rsid w:val="00485874"/>
    <w:rsid w:val="00493C74"/>
    <w:rsid w:val="004950BA"/>
    <w:rsid w:val="004A31FA"/>
    <w:rsid w:val="004B0BD2"/>
    <w:rsid w:val="004B0E99"/>
    <w:rsid w:val="004B37C6"/>
    <w:rsid w:val="004B565B"/>
    <w:rsid w:val="004B7041"/>
    <w:rsid w:val="004C0B05"/>
    <w:rsid w:val="004C7F18"/>
    <w:rsid w:val="004D1869"/>
    <w:rsid w:val="004D3DAD"/>
    <w:rsid w:val="004D7ED3"/>
    <w:rsid w:val="004E22A1"/>
    <w:rsid w:val="004E75E9"/>
    <w:rsid w:val="004F6435"/>
    <w:rsid w:val="005058D7"/>
    <w:rsid w:val="00506FCB"/>
    <w:rsid w:val="0051669B"/>
    <w:rsid w:val="00525D12"/>
    <w:rsid w:val="00530F76"/>
    <w:rsid w:val="00532B43"/>
    <w:rsid w:val="00536997"/>
    <w:rsid w:val="0054076D"/>
    <w:rsid w:val="0054440F"/>
    <w:rsid w:val="0054541A"/>
    <w:rsid w:val="00545586"/>
    <w:rsid w:val="00547C15"/>
    <w:rsid w:val="0055050C"/>
    <w:rsid w:val="0055569C"/>
    <w:rsid w:val="005600E5"/>
    <w:rsid w:val="0056047C"/>
    <w:rsid w:val="00560D62"/>
    <w:rsid w:val="0056275E"/>
    <w:rsid w:val="0056349B"/>
    <w:rsid w:val="00563AD9"/>
    <w:rsid w:val="00573E75"/>
    <w:rsid w:val="00590521"/>
    <w:rsid w:val="0059060F"/>
    <w:rsid w:val="00591123"/>
    <w:rsid w:val="005932C3"/>
    <w:rsid w:val="005A20B2"/>
    <w:rsid w:val="005A2E5A"/>
    <w:rsid w:val="005A3926"/>
    <w:rsid w:val="005A447B"/>
    <w:rsid w:val="005A61D9"/>
    <w:rsid w:val="005A6570"/>
    <w:rsid w:val="005B603D"/>
    <w:rsid w:val="005C2BA0"/>
    <w:rsid w:val="005C2C52"/>
    <w:rsid w:val="005C7AF6"/>
    <w:rsid w:val="005D564B"/>
    <w:rsid w:val="005D6014"/>
    <w:rsid w:val="005E0115"/>
    <w:rsid w:val="005E1875"/>
    <w:rsid w:val="005E495F"/>
    <w:rsid w:val="005E75BF"/>
    <w:rsid w:val="005F0AEB"/>
    <w:rsid w:val="005F3927"/>
    <w:rsid w:val="005F3EE3"/>
    <w:rsid w:val="005F518A"/>
    <w:rsid w:val="005F5A31"/>
    <w:rsid w:val="005F7F08"/>
    <w:rsid w:val="006004AD"/>
    <w:rsid w:val="00602C39"/>
    <w:rsid w:val="00605AFD"/>
    <w:rsid w:val="0061073A"/>
    <w:rsid w:val="00610EDA"/>
    <w:rsid w:val="0061263B"/>
    <w:rsid w:val="00613E31"/>
    <w:rsid w:val="0061487F"/>
    <w:rsid w:val="00616889"/>
    <w:rsid w:val="0061696F"/>
    <w:rsid w:val="00621407"/>
    <w:rsid w:val="00625265"/>
    <w:rsid w:val="00630573"/>
    <w:rsid w:val="00632FFE"/>
    <w:rsid w:val="00653390"/>
    <w:rsid w:val="00655D95"/>
    <w:rsid w:val="00656CA4"/>
    <w:rsid w:val="0066427E"/>
    <w:rsid w:val="00665C7F"/>
    <w:rsid w:val="006700F4"/>
    <w:rsid w:val="00671A08"/>
    <w:rsid w:val="00682FBE"/>
    <w:rsid w:val="00683167"/>
    <w:rsid w:val="006856F5"/>
    <w:rsid w:val="006923ED"/>
    <w:rsid w:val="006943DF"/>
    <w:rsid w:val="006950A4"/>
    <w:rsid w:val="00695AF3"/>
    <w:rsid w:val="006A0877"/>
    <w:rsid w:val="006A0FC9"/>
    <w:rsid w:val="006B0901"/>
    <w:rsid w:val="006B3E21"/>
    <w:rsid w:val="006B57BD"/>
    <w:rsid w:val="006B7FFE"/>
    <w:rsid w:val="006C1643"/>
    <w:rsid w:val="006C17E3"/>
    <w:rsid w:val="006C64B8"/>
    <w:rsid w:val="006D1527"/>
    <w:rsid w:val="006D7962"/>
    <w:rsid w:val="006F1A4C"/>
    <w:rsid w:val="007021F4"/>
    <w:rsid w:val="007054D1"/>
    <w:rsid w:val="00712F33"/>
    <w:rsid w:val="007146CA"/>
    <w:rsid w:val="00722AB5"/>
    <w:rsid w:val="00727A5A"/>
    <w:rsid w:val="00743158"/>
    <w:rsid w:val="00743B71"/>
    <w:rsid w:val="007500D8"/>
    <w:rsid w:val="00751CAA"/>
    <w:rsid w:val="007527C8"/>
    <w:rsid w:val="00752956"/>
    <w:rsid w:val="007538C5"/>
    <w:rsid w:val="0075782D"/>
    <w:rsid w:val="007616B9"/>
    <w:rsid w:val="007667F7"/>
    <w:rsid w:val="00767771"/>
    <w:rsid w:val="00767E12"/>
    <w:rsid w:val="00772C05"/>
    <w:rsid w:val="007770BE"/>
    <w:rsid w:val="00781E9A"/>
    <w:rsid w:val="007866D1"/>
    <w:rsid w:val="00787C49"/>
    <w:rsid w:val="00790F39"/>
    <w:rsid w:val="00792F1D"/>
    <w:rsid w:val="00793C26"/>
    <w:rsid w:val="00793DE7"/>
    <w:rsid w:val="00797A3F"/>
    <w:rsid w:val="007A1074"/>
    <w:rsid w:val="007A1512"/>
    <w:rsid w:val="007A25A0"/>
    <w:rsid w:val="007A3AC8"/>
    <w:rsid w:val="007A4DCF"/>
    <w:rsid w:val="007A5E21"/>
    <w:rsid w:val="007A60BB"/>
    <w:rsid w:val="007A6D6B"/>
    <w:rsid w:val="007B0BC2"/>
    <w:rsid w:val="007B0C74"/>
    <w:rsid w:val="007B16C1"/>
    <w:rsid w:val="007B4033"/>
    <w:rsid w:val="007C289A"/>
    <w:rsid w:val="007C4DC1"/>
    <w:rsid w:val="007C58C4"/>
    <w:rsid w:val="007D0B13"/>
    <w:rsid w:val="007D5A90"/>
    <w:rsid w:val="007E10A2"/>
    <w:rsid w:val="007E5AE3"/>
    <w:rsid w:val="007F0599"/>
    <w:rsid w:val="007F2F54"/>
    <w:rsid w:val="008020E5"/>
    <w:rsid w:val="00805495"/>
    <w:rsid w:val="008060C2"/>
    <w:rsid w:val="0081426E"/>
    <w:rsid w:val="00814FFF"/>
    <w:rsid w:val="00815F66"/>
    <w:rsid w:val="00821A25"/>
    <w:rsid w:val="008261E6"/>
    <w:rsid w:val="00827789"/>
    <w:rsid w:val="008300FE"/>
    <w:rsid w:val="00831D86"/>
    <w:rsid w:val="00834741"/>
    <w:rsid w:val="00840706"/>
    <w:rsid w:val="008416C8"/>
    <w:rsid w:val="00844F8A"/>
    <w:rsid w:val="008467F9"/>
    <w:rsid w:val="00852DB4"/>
    <w:rsid w:val="00857CEA"/>
    <w:rsid w:val="00860177"/>
    <w:rsid w:val="00860BA1"/>
    <w:rsid w:val="0086417C"/>
    <w:rsid w:val="00874446"/>
    <w:rsid w:val="00874860"/>
    <w:rsid w:val="0087659A"/>
    <w:rsid w:val="00877879"/>
    <w:rsid w:val="0087790D"/>
    <w:rsid w:val="00887D8F"/>
    <w:rsid w:val="00897263"/>
    <w:rsid w:val="008A276E"/>
    <w:rsid w:val="008A27EB"/>
    <w:rsid w:val="008A43A0"/>
    <w:rsid w:val="008A45ED"/>
    <w:rsid w:val="008B0257"/>
    <w:rsid w:val="008C043A"/>
    <w:rsid w:val="008C2B6A"/>
    <w:rsid w:val="008D07F7"/>
    <w:rsid w:val="008D0C4E"/>
    <w:rsid w:val="008D1D14"/>
    <w:rsid w:val="008D3A9B"/>
    <w:rsid w:val="008D424A"/>
    <w:rsid w:val="008E0BB5"/>
    <w:rsid w:val="008E499D"/>
    <w:rsid w:val="008F6F03"/>
    <w:rsid w:val="00905177"/>
    <w:rsid w:val="00914396"/>
    <w:rsid w:val="0091580A"/>
    <w:rsid w:val="00915CF3"/>
    <w:rsid w:val="00917361"/>
    <w:rsid w:val="00927B1B"/>
    <w:rsid w:val="00933164"/>
    <w:rsid w:val="009370FC"/>
    <w:rsid w:val="0094632A"/>
    <w:rsid w:val="00951222"/>
    <w:rsid w:val="00957C5B"/>
    <w:rsid w:val="0096358B"/>
    <w:rsid w:val="0096633E"/>
    <w:rsid w:val="00975E3D"/>
    <w:rsid w:val="009804DC"/>
    <w:rsid w:val="00981D8C"/>
    <w:rsid w:val="0098483D"/>
    <w:rsid w:val="00987A31"/>
    <w:rsid w:val="00992EAF"/>
    <w:rsid w:val="00997234"/>
    <w:rsid w:val="009A0911"/>
    <w:rsid w:val="009A4325"/>
    <w:rsid w:val="009A50AF"/>
    <w:rsid w:val="009A7A29"/>
    <w:rsid w:val="009A7F90"/>
    <w:rsid w:val="009B1816"/>
    <w:rsid w:val="009B4610"/>
    <w:rsid w:val="009C66E4"/>
    <w:rsid w:val="009C6923"/>
    <w:rsid w:val="009C7188"/>
    <w:rsid w:val="009D2144"/>
    <w:rsid w:val="009D4350"/>
    <w:rsid w:val="009E36A1"/>
    <w:rsid w:val="009E3AD0"/>
    <w:rsid w:val="009E4669"/>
    <w:rsid w:val="009E482C"/>
    <w:rsid w:val="009F3C37"/>
    <w:rsid w:val="00A04429"/>
    <w:rsid w:val="00A15C9B"/>
    <w:rsid w:val="00A31F75"/>
    <w:rsid w:val="00A356D4"/>
    <w:rsid w:val="00A372E4"/>
    <w:rsid w:val="00A37B87"/>
    <w:rsid w:val="00A40B6B"/>
    <w:rsid w:val="00A44014"/>
    <w:rsid w:val="00A46849"/>
    <w:rsid w:val="00A63912"/>
    <w:rsid w:val="00A6547C"/>
    <w:rsid w:val="00A67C14"/>
    <w:rsid w:val="00A71C2F"/>
    <w:rsid w:val="00A80E2F"/>
    <w:rsid w:val="00A847B3"/>
    <w:rsid w:val="00A85FBA"/>
    <w:rsid w:val="00A95C7F"/>
    <w:rsid w:val="00AC16E1"/>
    <w:rsid w:val="00AC1B98"/>
    <w:rsid w:val="00AC24AD"/>
    <w:rsid w:val="00AC6493"/>
    <w:rsid w:val="00AE2DEC"/>
    <w:rsid w:val="00AE43DD"/>
    <w:rsid w:val="00AE5FB6"/>
    <w:rsid w:val="00AE6CD8"/>
    <w:rsid w:val="00AF21EF"/>
    <w:rsid w:val="00B001EB"/>
    <w:rsid w:val="00B05E20"/>
    <w:rsid w:val="00B070B4"/>
    <w:rsid w:val="00B109C7"/>
    <w:rsid w:val="00B10AAC"/>
    <w:rsid w:val="00B110DF"/>
    <w:rsid w:val="00B20B2A"/>
    <w:rsid w:val="00B21F80"/>
    <w:rsid w:val="00B33639"/>
    <w:rsid w:val="00B3684C"/>
    <w:rsid w:val="00B37A85"/>
    <w:rsid w:val="00B440E1"/>
    <w:rsid w:val="00B44923"/>
    <w:rsid w:val="00B47A26"/>
    <w:rsid w:val="00B53341"/>
    <w:rsid w:val="00B552F6"/>
    <w:rsid w:val="00B55C99"/>
    <w:rsid w:val="00B60F3E"/>
    <w:rsid w:val="00B61E8E"/>
    <w:rsid w:val="00B641F2"/>
    <w:rsid w:val="00B6496D"/>
    <w:rsid w:val="00B70F7F"/>
    <w:rsid w:val="00B73091"/>
    <w:rsid w:val="00B73BFA"/>
    <w:rsid w:val="00B74003"/>
    <w:rsid w:val="00B74745"/>
    <w:rsid w:val="00B81A72"/>
    <w:rsid w:val="00B82088"/>
    <w:rsid w:val="00B82186"/>
    <w:rsid w:val="00B92A16"/>
    <w:rsid w:val="00B92FFA"/>
    <w:rsid w:val="00BA0A3C"/>
    <w:rsid w:val="00BA2BBC"/>
    <w:rsid w:val="00BA30EB"/>
    <w:rsid w:val="00BA44F6"/>
    <w:rsid w:val="00BB390C"/>
    <w:rsid w:val="00BB409B"/>
    <w:rsid w:val="00BB437C"/>
    <w:rsid w:val="00BB43F1"/>
    <w:rsid w:val="00BB5E89"/>
    <w:rsid w:val="00BC0DAE"/>
    <w:rsid w:val="00BC78AE"/>
    <w:rsid w:val="00BD6F66"/>
    <w:rsid w:val="00BE12AA"/>
    <w:rsid w:val="00BE14AD"/>
    <w:rsid w:val="00BE75D7"/>
    <w:rsid w:val="00BF0B62"/>
    <w:rsid w:val="00BF1CA6"/>
    <w:rsid w:val="00C023E7"/>
    <w:rsid w:val="00C024D5"/>
    <w:rsid w:val="00C0332A"/>
    <w:rsid w:val="00C03BEB"/>
    <w:rsid w:val="00C04330"/>
    <w:rsid w:val="00C04461"/>
    <w:rsid w:val="00C06D15"/>
    <w:rsid w:val="00C124F4"/>
    <w:rsid w:val="00C37129"/>
    <w:rsid w:val="00C40781"/>
    <w:rsid w:val="00C434D1"/>
    <w:rsid w:val="00C44F53"/>
    <w:rsid w:val="00C56F01"/>
    <w:rsid w:val="00C6639F"/>
    <w:rsid w:val="00C70167"/>
    <w:rsid w:val="00C70557"/>
    <w:rsid w:val="00C8309D"/>
    <w:rsid w:val="00C945CF"/>
    <w:rsid w:val="00CA3BD8"/>
    <w:rsid w:val="00CB0D6C"/>
    <w:rsid w:val="00CB157A"/>
    <w:rsid w:val="00CC1B0D"/>
    <w:rsid w:val="00CD4651"/>
    <w:rsid w:val="00CE3671"/>
    <w:rsid w:val="00CE7531"/>
    <w:rsid w:val="00CE7F1A"/>
    <w:rsid w:val="00CF34F1"/>
    <w:rsid w:val="00D01B9D"/>
    <w:rsid w:val="00D12CC8"/>
    <w:rsid w:val="00D20B47"/>
    <w:rsid w:val="00D236D6"/>
    <w:rsid w:val="00D24FE9"/>
    <w:rsid w:val="00D335AA"/>
    <w:rsid w:val="00D422B2"/>
    <w:rsid w:val="00D42F81"/>
    <w:rsid w:val="00D47BE8"/>
    <w:rsid w:val="00D50775"/>
    <w:rsid w:val="00D52B4D"/>
    <w:rsid w:val="00D53638"/>
    <w:rsid w:val="00D64EF3"/>
    <w:rsid w:val="00D74505"/>
    <w:rsid w:val="00D7588D"/>
    <w:rsid w:val="00D76D77"/>
    <w:rsid w:val="00D76E6F"/>
    <w:rsid w:val="00D80F8D"/>
    <w:rsid w:val="00D846C7"/>
    <w:rsid w:val="00D90968"/>
    <w:rsid w:val="00D91329"/>
    <w:rsid w:val="00D92EE6"/>
    <w:rsid w:val="00D94598"/>
    <w:rsid w:val="00D96B70"/>
    <w:rsid w:val="00D97012"/>
    <w:rsid w:val="00DA13D4"/>
    <w:rsid w:val="00DA1524"/>
    <w:rsid w:val="00DB387A"/>
    <w:rsid w:val="00DB5AF6"/>
    <w:rsid w:val="00DB5E3C"/>
    <w:rsid w:val="00DB6FDB"/>
    <w:rsid w:val="00DC4A4C"/>
    <w:rsid w:val="00DC5CE0"/>
    <w:rsid w:val="00DD3E3A"/>
    <w:rsid w:val="00DD75E0"/>
    <w:rsid w:val="00DE6F2C"/>
    <w:rsid w:val="00E03F83"/>
    <w:rsid w:val="00E05786"/>
    <w:rsid w:val="00E14503"/>
    <w:rsid w:val="00E14C91"/>
    <w:rsid w:val="00E17074"/>
    <w:rsid w:val="00E30B07"/>
    <w:rsid w:val="00E32D07"/>
    <w:rsid w:val="00E34C14"/>
    <w:rsid w:val="00E367B4"/>
    <w:rsid w:val="00E3684E"/>
    <w:rsid w:val="00E37DBE"/>
    <w:rsid w:val="00E476CA"/>
    <w:rsid w:val="00E545CE"/>
    <w:rsid w:val="00E553CB"/>
    <w:rsid w:val="00E60C73"/>
    <w:rsid w:val="00E61808"/>
    <w:rsid w:val="00E64478"/>
    <w:rsid w:val="00E66CD0"/>
    <w:rsid w:val="00E7004A"/>
    <w:rsid w:val="00E7183B"/>
    <w:rsid w:val="00E72DCD"/>
    <w:rsid w:val="00E737B6"/>
    <w:rsid w:val="00E7585F"/>
    <w:rsid w:val="00E823EC"/>
    <w:rsid w:val="00E879F9"/>
    <w:rsid w:val="00E9120C"/>
    <w:rsid w:val="00E94D1D"/>
    <w:rsid w:val="00EA2B4B"/>
    <w:rsid w:val="00EA6247"/>
    <w:rsid w:val="00EB03B3"/>
    <w:rsid w:val="00EB23CD"/>
    <w:rsid w:val="00EB33CF"/>
    <w:rsid w:val="00ED0A21"/>
    <w:rsid w:val="00ED0CF0"/>
    <w:rsid w:val="00ED6325"/>
    <w:rsid w:val="00EE1370"/>
    <w:rsid w:val="00EE6E51"/>
    <w:rsid w:val="00EF13B5"/>
    <w:rsid w:val="00EF3302"/>
    <w:rsid w:val="00EF3E30"/>
    <w:rsid w:val="00EF453D"/>
    <w:rsid w:val="00EF5CC3"/>
    <w:rsid w:val="00F102F1"/>
    <w:rsid w:val="00F10B7E"/>
    <w:rsid w:val="00F12EE5"/>
    <w:rsid w:val="00F13A07"/>
    <w:rsid w:val="00F143B6"/>
    <w:rsid w:val="00F20DDB"/>
    <w:rsid w:val="00F213EE"/>
    <w:rsid w:val="00F26B40"/>
    <w:rsid w:val="00F33938"/>
    <w:rsid w:val="00F37293"/>
    <w:rsid w:val="00F41799"/>
    <w:rsid w:val="00F4409B"/>
    <w:rsid w:val="00F45A77"/>
    <w:rsid w:val="00F47F7C"/>
    <w:rsid w:val="00F552B1"/>
    <w:rsid w:val="00F56C16"/>
    <w:rsid w:val="00F6478A"/>
    <w:rsid w:val="00F72433"/>
    <w:rsid w:val="00F72B26"/>
    <w:rsid w:val="00F75F15"/>
    <w:rsid w:val="00F81A97"/>
    <w:rsid w:val="00F825AD"/>
    <w:rsid w:val="00F85578"/>
    <w:rsid w:val="00F855B6"/>
    <w:rsid w:val="00F90918"/>
    <w:rsid w:val="00F96431"/>
    <w:rsid w:val="00F96A87"/>
    <w:rsid w:val="00FA03BE"/>
    <w:rsid w:val="00FA048B"/>
    <w:rsid w:val="00FA31EB"/>
    <w:rsid w:val="00FC1E67"/>
    <w:rsid w:val="00FC2FF5"/>
    <w:rsid w:val="00FD7926"/>
    <w:rsid w:val="00FE27D3"/>
    <w:rsid w:val="00FE590E"/>
    <w:rsid w:val="00FE6CA5"/>
    <w:rsid w:val="00FE7396"/>
    <w:rsid w:val="00FF1D56"/>
    <w:rsid w:val="00FF4DFC"/>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 w:type="paragraph" w:styleId="NormalWeb">
    <w:name w:val="Normal (Web)"/>
    <w:basedOn w:val="Normal"/>
    <w:uiPriority w:val="99"/>
    <w:semiHidden/>
    <w:unhideWhenUsed/>
    <w:rsid w:val="005058D7"/>
    <w:pPr>
      <w:overflowPunct/>
      <w:autoSpaceDE/>
      <w:autoSpaceDN/>
      <w:adjustRightInd/>
      <w:spacing w:before="100" w:beforeAutospacing="1" w:after="100" w:afterAutospacing="1"/>
      <w:jc w:val="left"/>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32307">
      <w:bodyDiv w:val="1"/>
      <w:marLeft w:val="0"/>
      <w:marRight w:val="0"/>
      <w:marTop w:val="0"/>
      <w:marBottom w:val="0"/>
      <w:divBdr>
        <w:top w:val="none" w:sz="0" w:space="0" w:color="auto"/>
        <w:left w:val="none" w:sz="0" w:space="0" w:color="auto"/>
        <w:bottom w:val="none" w:sz="0" w:space="0" w:color="auto"/>
        <w:right w:val="none" w:sz="0" w:space="0" w:color="auto"/>
      </w:divBdr>
      <w:divsChild>
        <w:div w:id="877087790">
          <w:marLeft w:val="274"/>
          <w:marRight w:val="0"/>
          <w:marTop w:val="0"/>
          <w:marBottom w:val="0"/>
          <w:divBdr>
            <w:top w:val="none" w:sz="0" w:space="0" w:color="auto"/>
            <w:left w:val="none" w:sz="0" w:space="0" w:color="auto"/>
            <w:bottom w:val="none" w:sz="0" w:space="0" w:color="auto"/>
            <w:right w:val="none" w:sz="0" w:space="0" w:color="auto"/>
          </w:divBdr>
        </w:div>
      </w:divsChild>
    </w:div>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504905129">
      <w:bodyDiv w:val="1"/>
      <w:marLeft w:val="0"/>
      <w:marRight w:val="0"/>
      <w:marTop w:val="0"/>
      <w:marBottom w:val="0"/>
      <w:divBdr>
        <w:top w:val="none" w:sz="0" w:space="0" w:color="auto"/>
        <w:left w:val="none" w:sz="0" w:space="0" w:color="auto"/>
        <w:bottom w:val="none" w:sz="0" w:space="0" w:color="auto"/>
        <w:right w:val="none" w:sz="0" w:space="0" w:color="auto"/>
      </w:divBdr>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FDFF6-447A-4DEA-AB22-13308B14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395</TotalTime>
  <Pages>5</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165</cp:revision>
  <dcterms:created xsi:type="dcterms:W3CDTF">2016-07-12T02:34:00Z</dcterms:created>
  <dcterms:modified xsi:type="dcterms:W3CDTF">2016-09-30T19:54:00Z</dcterms:modified>
</cp:coreProperties>
</file>